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2DCE" w:rsidRDefault="00CF058D">
      <w:pPr>
        <w:jc w:val="right"/>
        <w:rPr>
          <w:rFonts w:ascii="Arial" w:eastAsia="Arial" w:hAnsi="Arial" w:cs="Arial"/>
          <w:sz w:val="22"/>
          <w:szCs w:val="22"/>
        </w:rPr>
      </w:pPr>
      <w:r>
        <w:rPr>
          <w:rFonts w:ascii="Arial" w:eastAsia="Arial" w:hAnsi="Arial" w:cs="Arial"/>
          <w:b/>
          <w:bCs/>
          <w:sz w:val="26"/>
          <w:szCs w:val="26"/>
        </w:rPr>
        <w:t>CP/1341/2026</w:t>
      </w:r>
    </w:p>
    <w:p w:rsidR="00862DCE" w:rsidRDefault="00CF058D">
      <w:pPr>
        <w:jc w:val="right"/>
        <w:rPr>
          <w:rFonts w:ascii="Arial" w:eastAsia="Arial" w:hAnsi="Arial" w:cs="Arial"/>
          <w:sz w:val="22"/>
          <w:szCs w:val="22"/>
        </w:rPr>
      </w:pPr>
      <w:r>
        <w:rPr>
          <w:rFonts w:ascii="Arial" w:eastAsia="Arial" w:hAnsi="Arial" w:cs="Arial"/>
          <w:sz w:val="22"/>
          <w:szCs w:val="22"/>
        </w:rPr>
        <w:t>22 de septiembre de 2026</w:t>
      </w:r>
    </w:p>
    <w:p w:rsidR="00862DCE" w:rsidRDefault="00862DCE">
      <w:pPr>
        <w:jc w:val="right"/>
        <w:rPr>
          <w:rFonts w:ascii="Arial" w:eastAsia="Arial" w:hAnsi="Arial" w:cs="Arial"/>
          <w:sz w:val="22"/>
          <w:szCs w:val="22"/>
        </w:rPr>
      </w:pPr>
    </w:p>
    <w:p w:rsidR="00862DCE" w:rsidRDefault="00862DCE">
      <w:pPr>
        <w:jc w:val="center"/>
        <w:rPr>
          <w:rFonts w:ascii="Arial" w:eastAsia="Arial" w:hAnsi="Arial" w:cs="Arial"/>
          <w:sz w:val="22"/>
          <w:szCs w:val="22"/>
        </w:rPr>
      </w:pPr>
    </w:p>
    <w:p w:rsidR="00862DCE" w:rsidRDefault="00CF058D">
      <w:pPr>
        <w:spacing w:before="240" w:after="240"/>
        <w:jc w:val="center"/>
        <w:rPr>
          <w:rFonts w:ascii="Arial" w:eastAsia="Arial" w:hAnsi="Arial" w:cs="Arial"/>
          <w:b/>
          <w:bCs/>
        </w:rPr>
      </w:pPr>
      <w:bookmarkStart w:id="0" w:name="_GoBack"/>
      <w:r>
        <w:rPr>
          <w:rFonts w:ascii="Arial" w:eastAsia="Arial" w:hAnsi="Arial" w:cs="Arial"/>
          <w:b/>
          <w:bCs/>
        </w:rPr>
        <w:t>LANZA GOBERNADOR DISTINTIVO ESTATAL DE SUSTENTABILIDAD DIES</w:t>
      </w:r>
    </w:p>
    <w:bookmarkEnd w:id="0"/>
    <w:p w:rsidR="00862DCE" w:rsidRDefault="00862DCE">
      <w:pPr>
        <w:jc w:val="center"/>
        <w:rPr>
          <w:rFonts w:ascii="Arial" w:eastAsia="Arial" w:hAnsi="Arial" w:cs="Arial"/>
          <w:b/>
          <w:bCs/>
        </w:rPr>
      </w:pPr>
    </w:p>
    <w:p w:rsidR="00862DCE" w:rsidRDefault="00862DCE">
      <w:pPr>
        <w:jc w:val="center"/>
        <w:rPr>
          <w:rFonts w:ascii="Arial" w:eastAsia="Arial" w:hAnsi="Arial" w:cs="Arial"/>
          <w:b/>
          <w:bCs/>
        </w:rPr>
      </w:pPr>
    </w:p>
    <w:p w:rsidR="00862DCE" w:rsidRDefault="00CF058D">
      <w:pPr>
        <w:numPr>
          <w:ilvl w:val="0"/>
          <w:numId w:val="1"/>
        </w:numPr>
        <w:spacing w:before="240" w:after="240" w:line="276" w:lineRule="auto"/>
        <w:rPr>
          <w:rFonts w:ascii="Arial" w:eastAsia="Arial" w:hAnsi="Arial" w:cs="Arial"/>
          <w:i/>
          <w:iCs/>
          <w:sz w:val="22"/>
          <w:szCs w:val="22"/>
        </w:rPr>
      </w:pPr>
      <w:r>
        <w:rPr>
          <w:rFonts w:ascii="Arial" w:eastAsia="Arial" w:hAnsi="Arial" w:cs="Arial"/>
          <w:i/>
          <w:iCs/>
          <w:sz w:val="22"/>
          <w:szCs w:val="22"/>
        </w:rPr>
        <w:t xml:space="preserve">“Más que un gobierno coercitivo o de sanción, siempre hemos creído en la voluntad empresarial de sacar adelante el tema del medio ambiente”.- Samuel García. </w:t>
      </w:r>
    </w:p>
    <w:p w:rsidR="00862DCE" w:rsidRDefault="00CF058D">
      <w:pPr>
        <w:numPr>
          <w:ilvl w:val="0"/>
          <w:numId w:val="1"/>
        </w:numPr>
        <w:spacing w:before="240" w:after="240" w:line="276" w:lineRule="auto"/>
        <w:rPr>
          <w:rFonts w:ascii="Arial" w:eastAsia="Arial" w:hAnsi="Arial" w:cs="Arial"/>
          <w:i/>
          <w:iCs/>
          <w:sz w:val="22"/>
          <w:szCs w:val="22"/>
        </w:rPr>
      </w:pPr>
      <w:r>
        <w:rPr>
          <w:rFonts w:ascii="Arial" w:eastAsia="Arial" w:hAnsi="Arial" w:cs="Arial"/>
          <w:i/>
          <w:iCs/>
          <w:sz w:val="22"/>
          <w:szCs w:val="22"/>
        </w:rPr>
        <w:t xml:space="preserve"> Este galardón </w:t>
      </w:r>
      <w:proofErr w:type="gramStart"/>
      <w:r>
        <w:rPr>
          <w:rFonts w:ascii="Arial" w:eastAsia="Arial" w:hAnsi="Arial" w:cs="Arial"/>
          <w:i/>
          <w:iCs/>
          <w:sz w:val="22"/>
          <w:szCs w:val="22"/>
        </w:rPr>
        <w:t>reconocerá  públicamente</w:t>
      </w:r>
      <w:proofErr w:type="gramEnd"/>
      <w:r>
        <w:rPr>
          <w:rFonts w:ascii="Arial" w:eastAsia="Arial" w:hAnsi="Arial" w:cs="Arial"/>
          <w:i/>
          <w:iCs/>
          <w:sz w:val="22"/>
          <w:szCs w:val="22"/>
        </w:rPr>
        <w:t xml:space="preserve"> a organizaciones y empresas comprometidas con el equilibri</w:t>
      </w:r>
      <w:r>
        <w:rPr>
          <w:rFonts w:ascii="Arial" w:eastAsia="Arial" w:hAnsi="Arial" w:cs="Arial"/>
          <w:i/>
          <w:iCs/>
          <w:sz w:val="22"/>
          <w:szCs w:val="22"/>
        </w:rPr>
        <w:t>o ambiental, social y económico a través de mejores prácticas.</w:t>
      </w:r>
    </w:p>
    <w:p w:rsidR="00862DCE" w:rsidRDefault="00CF058D">
      <w:pPr>
        <w:numPr>
          <w:ilvl w:val="0"/>
          <w:numId w:val="1"/>
        </w:numPr>
        <w:spacing w:before="240" w:after="240" w:line="276" w:lineRule="auto"/>
        <w:rPr>
          <w:rFonts w:ascii="Arial" w:eastAsia="Arial" w:hAnsi="Arial" w:cs="Arial"/>
          <w:i/>
          <w:iCs/>
          <w:sz w:val="22"/>
          <w:szCs w:val="22"/>
        </w:rPr>
      </w:pPr>
      <w:r>
        <w:rPr>
          <w:rFonts w:ascii="Arial" w:eastAsia="Arial" w:hAnsi="Arial" w:cs="Arial"/>
          <w:i/>
          <w:iCs/>
          <w:sz w:val="22"/>
          <w:szCs w:val="22"/>
        </w:rPr>
        <w:t>El DIES se otorgará a empresas legalmente constituidas y ubicadas en Nuevo León, que operen con un establecimiento físico, y que no tengan sanciones, ni procedimientos administrativos durante e</w:t>
      </w:r>
      <w:r>
        <w:rPr>
          <w:rFonts w:ascii="Arial" w:eastAsia="Arial" w:hAnsi="Arial" w:cs="Arial"/>
          <w:i/>
          <w:iCs/>
          <w:sz w:val="22"/>
          <w:szCs w:val="22"/>
        </w:rPr>
        <w:t>l último año.</w:t>
      </w:r>
    </w:p>
    <w:p w:rsidR="00862DCE" w:rsidRDefault="00862DCE">
      <w:pPr>
        <w:rPr>
          <w:rFonts w:ascii="Arial" w:eastAsia="Arial" w:hAnsi="Arial" w:cs="Arial"/>
          <w:i/>
          <w:iCs/>
        </w:rPr>
      </w:pPr>
    </w:p>
    <w:p w:rsidR="00862DCE" w:rsidRDefault="00CF058D">
      <w:pPr>
        <w:jc w:val="both"/>
        <w:rPr>
          <w:rFonts w:ascii="Arial" w:eastAsia="Arial" w:hAnsi="Arial" w:cs="Arial"/>
        </w:rPr>
      </w:pPr>
      <w:r>
        <w:rPr>
          <w:rFonts w:ascii="Arial" w:eastAsia="Arial" w:hAnsi="Arial" w:cs="Arial"/>
          <w:b/>
          <w:bCs/>
        </w:rPr>
        <w:t>Monterrey, Nuevo León.-</w:t>
      </w:r>
      <w:r>
        <w:rPr>
          <w:rFonts w:ascii="Arial" w:eastAsia="Arial" w:hAnsi="Arial" w:cs="Arial"/>
        </w:rPr>
        <w:t xml:space="preserve">Para reconocer a las empresas que contribuyen al desarrollo sostenible del estado, el Gobernador Samuel Alejandro García Sepúlveda presentó de manera oficial el Distintivo Estatal de Sustentabilidad (DIES). </w:t>
      </w:r>
    </w:p>
    <w:p w:rsidR="00862DCE" w:rsidRDefault="00CF058D">
      <w:pPr>
        <w:spacing w:before="240" w:after="240"/>
        <w:jc w:val="both"/>
        <w:rPr>
          <w:rFonts w:ascii="Arial" w:eastAsia="Arial" w:hAnsi="Arial" w:cs="Arial"/>
        </w:rPr>
      </w:pPr>
      <w:r>
        <w:rPr>
          <w:rFonts w:ascii="Arial" w:eastAsia="Arial" w:hAnsi="Arial" w:cs="Arial"/>
        </w:rPr>
        <w:t>Durante el</w:t>
      </w:r>
      <w:r>
        <w:rPr>
          <w:rFonts w:ascii="Arial" w:eastAsia="Arial" w:hAnsi="Arial" w:cs="Arial"/>
        </w:rPr>
        <w:t xml:space="preserve"> lanzamiento del galardón, acompañado del Secretario de Medio Ambiente, Raúl Lozano y Mariana Rodríguez Cantú, de AMAR a NL</w:t>
      </w:r>
      <w:proofErr w:type="gramStart"/>
      <w:r>
        <w:rPr>
          <w:rFonts w:ascii="Arial" w:eastAsia="Arial" w:hAnsi="Arial" w:cs="Arial"/>
        </w:rPr>
        <w:t>,  el</w:t>
      </w:r>
      <w:proofErr w:type="gramEnd"/>
      <w:r>
        <w:rPr>
          <w:rFonts w:ascii="Arial" w:eastAsia="Arial" w:hAnsi="Arial" w:cs="Arial"/>
        </w:rPr>
        <w:t xml:space="preserve"> Mandatario estatal señaló la importancia de generar herramientas que distingan las mejores prácticas de las compañías compromet</w:t>
      </w:r>
      <w:r>
        <w:rPr>
          <w:rFonts w:ascii="Arial" w:eastAsia="Arial" w:hAnsi="Arial" w:cs="Arial"/>
        </w:rPr>
        <w:t>idas con el equilibrio ambiental, social y económico.</w:t>
      </w:r>
    </w:p>
    <w:p w:rsidR="00862DCE" w:rsidRDefault="00CF058D">
      <w:pPr>
        <w:spacing w:before="240" w:after="240"/>
        <w:jc w:val="both"/>
        <w:rPr>
          <w:rFonts w:ascii="Arial" w:eastAsia="Arial" w:hAnsi="Arial" w:cs="Arial"/>
        </w:rPr>
      </w:pPr>
      <w:r>
        <w:rPr>
          <w:rFonts w:ascii="Arial" w:eastAsia="Arial" w:hAnsi="Arial" w:cs="Arial"/>
        </w:rPr>
        <w:t xml:space="preserve">“Estas tareas, sin duda, es lo que le toca al gobierno, cuidar nuestro medio ambiente”, apuntó. </w:t>
      </w:r>
    </w:p>
    <w:p w:rsidR="00862DCE" w:rsidRDefault="00CF058D">
      <w:pPr>
        <w:spacing w:before="240" w:after="240"/>
        <w:jc w:val="both"/>
        <w:rPr>
          <w:rFonts w:ascii="Arial" w:eastAsia="Arial" w:hAnsi="Arial" w:cs="Arial"/>
        </w:rPr>
      </w:pPr>
      <w:r>
        <w:rPr>
          <w:rFonts w:ascii="Arial" w:eastAsia="Arial" w:hAnsi="Arial" w:cs="Arial"/>
        </w:rPr>
        <w:t>“Más que un gobierno coercitivo o de sanción, siempre hemos creído en la voluntad empresarial de, por las</w:t>
      </w:r>
      <w:r>
        <w:rPr>
          <w:rFonts w:ascii="Arial" w:eastAsia="Arial" w:hAnsi="Arial" w:cs="Arial"/>
        </w:rPr>
        <w:t xml:space="preserve"> buenas, sacar adelante el tema del medio </w:t>
      </w:r>
      <w:r>
        <w:rPr>
          <w:rFonts w:ascii="Arial" w:eastAsia="Arial" w:hAnsi="Arial" w:cs="Arial"/>
        </w:rPr>
        <w:lastRenderedPageBreak/>
        <w:t xml:space="preserve">ambiente. Por eso el día de hoy estamos lanzando este Distintivo Estatal de Sustentabilidad para darle un premio a estas empresas de DIES”, expresó García Sepúlveda. </w:t>
      </w:r>
    </w:p>
    <w:p w:rsidR="00862DCE" w:rsidRDefault="00CF058D">
      <w:pPr>
        <w:spacing w:before="240" w:after="240"/>
        <w:jc w:val="both"/>
        <w:rPr>
          <w:rFonts w:ascii="Arial" w:eastAsia="Arial" w:hAnsi="Arial" w:cs="Arial"/>
        </w:rPr>
      </w:pPr>
      <w:r>
        <w:rPr>
          <w:rFonts w:ascii="Arial" w:eastAsia="Arial" w:hAnsi="Arial" w:cs="Arial"/>
        </w:rPr>
        <w:t>En su mensaje, el Gobernador destacó las accion</w:t>
      </w:r>
      <w:r>
        <w:rPr>
          <w:rFonts w:ascii="Arial" w:eastAsia="Arial" w:hAnsi="Arial" w:cs="Arial"/>
        </w:rPr>
        <w:t xml:space="preserve">es que desde su administración se han implementado para generar riqueza desde lo sostenible, entre además de la creación de la Secretaría de Medio Ambiente, enlistó estrategias como la implementación de la División Ambiental, la Procuraduría Ambiental, la </w:t>
      </w:r>
      <w:r>
        <w:rPr>
          <w:rFonts w:ascii="Arial" w:eastAsia="Arial" w:hAnsi="Arial" w:cs="Arial"/>
        </w:rPr>
        <w:t xml:space="preserve">Agencia de la Calidad del Aire, la Agencia de Energía Renovable, el piso ambiental al interior del Nuevo Edificio de Fuerza Civil, LimpiaLeón, el PIGECA y el Centro de Atención Animal. </w:t>
      </w:r>
    </w:p>
    <w:p w:rsidR="00862DCE" w:rsidRDefault="00CF058D">
      <w:pPr>
        <w:spacing w:before="240" w:after="240"/>
        <w:jc w:val="both"/>
        <w:rPr>
          <w:rFonts w:ascii="Arial" w:eastAsia="Arial" w:hAnsi="Arial" w:cs="Arial"/>
        </w:rPr>
      </w:pPr>
      <w:r>
        <w:rPr>
          <w:rFonts w:ascii="Arial" w:eastAsia="Arial" w:hAnsi="Arial" w:cs="Arial"/>
        </w:rPr>
        <w:t xml:space="preserve"> </w:t>
      </w:r>
    </w:p>
    <w:p w:rsidR="00862DCE" w:rsidRDefault="00CF058D">
      <w:pPr>
        <w:spacing w:before="240" w:after="240"/>
        <w:jc w:val="both"/>
        <w:rPr>
          <w:rFonts w:ascii="Arial" w:eastAsia="Arial" w:hAnsi="Arial" w:cs="Arial"/>
        </w:rPr>
      </w:pPr>
      <w:r>
        <w:rPr>
          <w:rFonts w:ascii="Arial" w:eastAsia="Arial" w:hAnsi="Arial" w:cs="Arial"/>
        </w:rPr>
        <w:t xml:space="preserve">Por último, el Mandatario estatal reflexionó sobre seguir diseñando </w:t>
      </w:r>
      <w:r>
        <w:rPr>
          <w:rFonts w:ascii="Arial" w:eastAsia="Arial" w:hAnsi="Arial" w:cs="Arial"/>
        </w:rPr>
        <w:t xml:space="preserve">iniciativas de economía circular, que promuevan el crecimiento de la industria con inteligencia colectiva, en la que las empresas apuesten por la sostenibilidad para definir un mejor futuro para Nuevo León. </w:t>
      </w:r>
    </w:p>
    <w:p w:rsidR="00862DCE" w:rsidRDefault="00CF058D">
      <w:pPr>
        <w:spacing w:before="240" w:after="240"/>
        <w:jc w:val="both"/>
        <w:rPr>
          <w:rFonts w:ascii="Arial" w:eastAsia="Arial" w:hAnsi="Arial" w:cs="Arial"/>
        </w:rPr>
      </w:pPr>
      <w:r>
        <w:rPr>
          <w:rFonts w:ascii="Arial" w:eastAsia="Arial" w:hAnsi="Arial" w:cs="Arial"/>
        </w:rPr>
        <w:t>El Secretario de Medio Ambiente indicó que el co</w:t>
      </w:r>
      <w:r>
        <w:rPr>
          <w:rFonts w:ascii="Arial" w:eastAsia="Arial" w:hAnsi="Arial" w:cs="Arial"/>
        </w:rPr>
        <w:t>nstante crecimiento de las ciudades y de las actividades económicas ha ejercido una presión cada vez mayor sobre los recursos naturales del planeta. Ante este escenario, las más de 209 mil unidades económicas que operan en Nuevo León representan un punto c</w:t>
      </w:r>
      <w:r>
        <w:rPr>
          <w:rFonts w:ascii="Arial" w:eastAsia="Arial" w:hAnsi="Arial" w:cs="Arial"/>
        </w:rPr>
        <w:t>lave donde se pueden generar cambios de gran impacto para el medio ambiente.</w:t>
      </w:r>
    </w:p>
    <w:p w:rsidR="00862DCE" w:rsidRDefault="00CF058D">
      <w:pPr>
        <w:spacing w:before="240" w:after="240"/>
        <w:jc w:val="both"/>
        <w:rPr>
          <w:rFonts w:ascii="Arial" w:eastAsia="Arial" w:hAnsi="Arial" w:cs="Arial"/>
        </w:rPr>
      </w:pPr>
      <w:r>
        <w:rPr>
          <w:rFonts w:ascii="Arial" w:eastAsia="Arial" w:hAnsi="Arial" w:cs="Arial"/>
        </w:rPr>
        <w:t>“Los grandes retos ambientales requieren de la colaboración, la capacidad de innovación y el compromiso de todos los sectores. El DIES es más que un reconocimiento, es una hoja de</w:t>
      </w:r>
      <w:r>
        <w:rPr>
          <w:rFonts w:ascii="Arial" w:eastAsia="Arial" w:hAnsi="Arial" w:cs="Arial"/>
        </w:rPr>
        <w:t xml:space="preserve"> ruta para transformar el compromiso en acciones cotidianas y concretas”, afirmó el titular de la dependencia.</w:t>
      </w:r>
    </w:p>
    <w:p w:rsidR="00862DCE" w:rsidRDefault="00CF058D">
      <w:pPr>
        <w:spacing w:before="240" w:after="240"/>
        <w:jc w:val="both"/>
        <w:rPr>
          <w:rFonts w:ascii="Arial" w:eastAsia="Arial" w:hAnsi="Arial" w:cs="Arial"/>
        </w:rPr>
      </w:pPr>
      <w:r>
        <w:rPr>
          <w:rFonts w:ascii="Arial" w:eastAsia="Arial" w:hAnsi="Arial" w:cs="Arial"/>
        </w:rPr>
        <w:t>Para participar por el DIES, las organizaciones interesadas deben cumplir con requisitos claros: estar legalmente constituidas y ubicadas en Nuev</w:t>
      </w:r>
      <w:r>
        <w:rPr>
          <w:rFonts w:ascii="Arial" w:eastAsia="Arial" w:hAnsi="Arial" w:cs="Arial"/>
        </w:rPr>
        <w:t>o León, encontrarse en operación con un establecimiento físico, y no haber recibido sanciones ni enfrentado procedimientos administrativos durante el último año.</w:t>
      </w:r>
    </w:p>
    <w:p w:rsidR="00862DCE" w:rsidRDefault="00CF058D">
      <w:pPr>
        <w:spacing w:before="240" w:after="240"/>
        <w:jc w:val="both"/>
        <w:rPr>
          <w:rFonts w:ascii="Arial" w:eastAsia="Arial" w:hAnsi="Arial" w:cs="Arial"/>
        </w:rPr>
      </w:pPr>
      <w:r>
        <w:rPr>
          <w:rFonts w:ascii="Arial" w:eastAsia="Arial" w:hAnsi="Arial" w:cs="Arial"/>
        </w:rPr>
        <w:t>El programa fue diseñado para adaptarse a la realidad productiva del estado, por lo que abarca</w:t>
      </w:r>
      <w:r>
        <w:rPr>
          <w:rFonts w:ascii="Arial" w:eastAsia="Arial" w:hAnsi="Arial" w:cs="Arial"/>
        </w:rPr>
        <w:t xml:space="preserve"> nueve sectores desde oficinas, educación, salud, comercio, hospedaje, restaurantes, entretenimiento y cultura, hasta industria, almacenamiento y logística, que en conjunto suman 33 giros específicos.</w:t>
      </w:r>
    </w:p>
    <w:p w:rsidR="00862DCE" w:rsidRDefault="00CF058D">
      <w:pPr>
        <w:spacing w:before="240" w:after="240"/>
        <w:jc w:val="both"/>
        <w:rPr>
          <w:rFonts w:ascii="Arial" w:eastAsia="Arial" w:hAnsi="Arial" w:cs="Arial"/>
        </w:rPr>
      </w:pPr>
      <w:r>
        <w:rPr>
          <w:rFonts w:ascii="Arial" w:eastAsia="Arial" w:hAnsi="Arial" w:cs="Arial"/>
        </w:rPr>
        <w:lastRenderedPageBreak/>
        <w:t>La evaluación se realiza a través de siete categorías d</w:t>
      </w:r>
      <w:r>
        <w:rPr>
          <w:rFonts w:ascii="Arial" w:eastAsia="Arial" w:hAnsi="Arial" w:cs="Arial"/>
        </w:rPr>
        <w:t xml:space="preserve">e impacto que cubren los aspectos esenciales de la sostenibilidad: cumplimiento normativo, agua, residuos, energía, movilidad, ambiente interior y biodiversidad. Los participantes deberán atender tres tipos de estrategias: las obligatorias, que garantizan </w:t>
      </w:r>
      <w:r>
        <w:rPr>
          <w:rFonts w:ascii="Arial" w:eastAsia="Arial" w:hAnsi="Arial" w:cs="Arial"/>
        </w:rPr>
        <w:t xml:space="preserve">el cumplimiento legal; </w:t>
      </w:r>
      <w:proofErr w:type="gramStart"/>
      <w:r>
        <w:rPr>
          <w:rFonts w:ascii="Arial" w:eastAsia="Arial" w:hAnsi="Arial" w:cs="Arial"/>
        </w:rPr>
        <w:t>las base</w:t>
      </w:r>
      <w:proofErr w:type="gramEnd"/>
      <w:r>
        <w:rPr>
          <w:rFonts w:ascii="Arial" w:eastAsia="Arial" w:hAnsi="Arial" w:cs="Arial"/>
        </w:rPr>
        <w:t xml:space="preserve">, que marcan las acciones mínimas en cada categoría; y las complementarias, que reconocen a quienes van más allá de lo requerido. </w:t>
      </w:r>
    </w:p>
    <w:p w:rsidR="00862DCE" w:rsidRDefault="00CF058D">
      <w:pPr>
        <w:spacing w:before="240" w:after="240"/>
        <w:jc w:val="both"/>
        <w:rPr>
          <w:rFonts w:ascii="Arial" w:eastAsia="Arial" w:hAnsi="Arial" w:cs="Arial"/>
        </w:rPr>
      </w:pPr>
      <w:r>
        <w:rPr>
          <w:rFonts w:ascii="Arial" w:eastAsia="Arial" w:hAnsi="Arial" w:cs="Arial"/>
        </w:rPr>
        <w:t>El proceso para obtener el distintivo es sencillo y transparente: primero se publican los line</w:t>
      </w:r>
      <w:r>
        <w:rPr>
          <w:rFonts w:ascii="Arial" w:eastAsia="Arial" w:hAnsi="Arial" w:cs="Arial"/>
        </w:rPr>
        <w:t>amientos y la convocatoria, después se revisan y evalúan las solicitudes, y finalmente se dan a conocer los resultados. El distintivo tendrá una vigencia de dos años, tras los cuales las organizaciones podrán iniciar su proceso de renovación.</w:t>
      </w:r>
    </w:p>
    <w:p w:rsidR="00862DCE" w:rsidRDefault="00CF058D">
      <w:pPr>
        <w:spacing w:before="240" w:after="240"/>
        <w:jc w:val="both"/>
        <w:rPr>
          <w:rFonts w:ascii="Arial" w:eastAsia="Arial" w:hAnsi="Arial" w:cs="Arial"/>
        </w:rPr>
      </w:pPr>
      <w:r>
        <w:rPr>
          <w:rFonts w:ascii="Arial" w:eastAsia="Arial" w:hAnsi="Arial" w:cs="Arial"/>
        </w:rPr>
        <w:t>Para más información sobre la convocatoria, los lineamientos y el proceso de registro, los interesados pueden consultar la página oficial: https</w:t>
      </w:r>
      <w:proofErr w:type="gramStart"/>
      <w:r>
        <w:rPr>
          <w:rFonts w:ascii="Arial" w:eastAsia="Arial" w:hAnsi="Arial" w:cs="Arial"/>
        </w:rPr>
        <w:t>:/</w:t>
      </w:r>
      <w:proofErr w:type="gramEnd"/>
      <w:r>
        <w:rPr>
          <w:rFonts w:ascii="Arial" w:eastAsia="Arial" w:hAnsi="Arial" w:cs="Arial"/>
        </w:rPr>
        <w:t>/www.nl.gob.mx/es/distintivodies, escribir al correo dies.medioambiente@nuevoleon.gob.mx o comunicarse al telé</w:t>
      </w:r>
      <w:r>
        <w:rPr>
          <w:rFonts w:ascii="Arial" w:eastAsia="Arial" w:hAnsi="Arial" w:cs="Arial"/>
        </w:rPr>
        <w:t>fono 8120 33 2100, en la Secretaría de Medio Ambiente, Torre Administrativa.</w:t>
      </w:r>
    </w:p>
    <w:p w:rsidR="00862DCE" w:rsidRDefault="00862DCE">
      <w:pPr>
        <w:jc w:val="both"/>
        <w:rPr>
          <w:rFonts w:ascii="Arial" w:eastAsia="Arial" w:hAnsi="Arial" w:cs="Arial"/>
        </w:rPr>
      </w:pPr>
    </w:p>
    <w:sectPr w:rsidR="00862DCE">
      <w:headerReference w:type="default" r:id="rId8"/>
      <w:footerReference w:type="default" r:id="rId9"/>
      <w:pgSz w:w="12240" w:h="15840"/>
      <w:pgMar w:top="2516" w:right="1800" w:bottom="1618" w:left="1800" w:header="720" w:footer="1527"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CF058D">
      <w:r>
        <w:separator/>
      </w:r>
    </w:p>
  </w:endnote>
  <w:endnote w:type="continuationSeparator" w:id="0">
    <w:p w:rsidR="00000000" w:rsidRDefault="00CF05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charset w:val="00"/>
    <w:family w:val="auto"/>
    <w:pitch w:val="default"/>
    <w:embedRegular r:id="rId1" w:fontKey="{1CA77B99-CCA7-487C-B98A-DFAE38FE2E1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embedRegular r:id="rId2" w:fontKey="{54C4B684-3998-40C4-B80B-7B73FE7AB08D}"/>
    <w:embedBold r:id="rId3" w:fontKey="{3D1B4FC1-18CF-48A5-B5DA-EFB8BFDA020F}"/>
  </w:font>
  <w:font w:name="Times New Roman">
    <w:panose1 w:val="02020603050405020304"/>
    <w:charset w:val="00"/>
    <w:family w:val="roman"/>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embedRegular r:id="rId4" w:fontKey="{FC036490-CB6A-48A2-BA14-196CDA3E7146}"/>
  </w:font>
  <w:font w:name="Georgia">
    <w:panose1 w:val="02040502050405020303"/>
    <w:charset w:val="00"/>
    <w:family w:val="auto"/>
    <w:pitch w:val="default"/>
    <w:embedItalic r:id="rId5" w:fontKey="{E137A39B-0ED4-4441-B25C-EAE340D5B24C}"/>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2DCE" w:rsidRDefault="00CF058D">
    <w:pPr>
      <w:pBdr>
        <w:top w:val="nil"/>
        <w:left w:val="nil"/>
        <w:bottom w:val="nil"/>
        <w:right w:val="nil"/>
        <w:between w:val="nil"/>
      </w:pBdr>
      <w:tabs>
        <w:tab w:val="center" w:pos="4320"/>
        <w:tab w:val="right" w:pos="8640"/>
      </w:tabs>
      <w:rPr>
        <w:color w:val="000000"/>
      </w:rPr>
    </w:pPr>
    <w:r>
      <w:rPr>
        <w:noProof/>
      </w:rPr>
      <w:drawing>
        <wp:anchor distT="0" distB="0" distL="0" distR="0" simplePos="0" relativeHeight="251659264" behindDoc="1" locked="0" layoutInCell="1" hidden="0" allowOverlap="1">
          <wp:simplePos x="0" y="0"/>
          <wp:positionH relativeFrom="column">
            <wp:posOffset>-1142999</wp:posOffset>
          </wp:positionH>
          <wp:positionV relativeFrom="paragraph">
            <wp:posOffset>32384</wp:posOffset>
          </wp:positionV>
          <wp:extent cx="7783830" cy="1337945"/>
          <wp:effectExtent l="0" t="0" r="0" b="0"/>
          <wp:wrapNone/>
          <wp:docPr id="2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t="86716"/>
                  <a:stretch>
                    <a:fillRect/>
                  </a:stretch>
                </pic:blipFill>
                <pic:spPr>
                  <a:xfrm>
                    <a:off x="0" y="0"/>
                    <a:ext cx="7783830" cy="1337945"/>
                  </a:xfrm>
                  <a:prstGeom prst="rect">
                    <a:avLst/>
                  </a:prstGeom>
                  <a:ln/>
                </pic:spPr>
              </pic:pic>
            </a:graphicData>
          </a:graphic>
        </wp:anchor>
      </w:drawing>
    </w:r>
  </w:p>
  <w:p w:rsidR="00862DCE" w:rsidRDefault="00862DCE">
    <w:pPr>
      <w:pBdr>
        <w:top w:val="nil"/>
        <w:left w:val="nil"/>
        <w:bottom w:val="nil"/>
        <w:right w:val="nil"/>
        <w:between w:val="nil"/>
      </w:pBdr>
      <w:tabs>
        <w:tab w:val="center" w:pos="4320"/>
        <w:tab w:val="right" w:pos="8640"/>
      </w:tabs>
      <w:rPr>
        <w:color w:val="000000"/>
      </w:rPr>
    </w:pPr>
  </w:p>
  <w:p w:rsidR="00862DCE" w:rsidRDefault="00862DCE">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CF058D">
      <w:r>
        <w:separator/>
      </w:r>
    </w:p>
  </w:footnote>
  <w:footnote w:type="continuationSeparator" w:id="0">
    <w:p w:rsidR="00000000" w:rsidRDefault="00CF05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2DCE" w:rsidRDefault="00CF058D">
    <w:pPr>
      <w:pBdr>
        <w:top w:val="nil"/>
        <w:left w:val="nil"/>
        <w:bottom w:val="nil"/>
        <w:right w:val="nil"/>
        <w:between w:val="nil"/>
      </w:pBdr>
      <w:tabs>
        <w:tab w:val="center" w:pos="4320"/>
        <w:tab w:val="right" w:pos="8640"/>
        <w:tab w:val="left" w:pos="1173"/>
      </w:tabs>
      <w:rPr>
        <w:color w:val="000000"/>
      </w:rPr>
    </w:pPr>
    <w:r>
      <w:rPr>
        <w:noProof/>
      </w:rPr>
      <w:drawing>
        <wp:anchor distT="0" distB="0" distL="0" distR="0" simplePos="0" relativeHeight="251658240" behindDoc="1" locked="0" layoutInCell="1" hidden="0" allowOverlap="1">
          <wp:simplePos x="0" y="0"/>
          <wp:positionH relativeFrom="column">
            <wp:posOffset>-1151889</wp:posOffset>
          </wp:positionH>
          <wp:positionV relativeFrom="paragraph">
            <wp:posOffset>-1170304</wp:posOffset>
          </wp:positionV>
          <wp:extent cx="7792278" cy="12834818"/>
          <wp:effectExtent l="0" t="0" r="0" b="0"/>
          <wp:wrapNone/>
          <wp:docPr id="2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792278" cy="12834818"/>
                  </a:xfrm>
                  <a:prstGeom prst="rect">
                    <a:avLst/>
                  </a:prstGeom>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6E63A44"/>
    <w:multiLevelType w:val="multilevel"/>
    <w:tmpl w:val="2A8ECE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DCE"/>
    <w:rsid w:val="00862DCE"/>
    <w:rsid w:val="00CF058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D1ADA58-97D3-447F-8338-5A89A4B70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Cambria"/>
        <w:sz w:val="24"/>
        <w:szCs w:val="24"/>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bCs/>
      <w:sz w:val="48"/>
      <w:szCs w:val="48"/>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rPr>
  </w:style>
  <w:style w:type="paragraph" w:styleId="Ttulo5">
    <w:name w:val="heading 5"/>
    <w:basedOn w:val="Normal"/>
    <w:next w:val="Normal"/>
    <w:pPr>
      <w:keepNext/>
      <w:keepLines/>
      <w:spacing w:before="220" w:after="40"/>
      <w:outlineLvl w:val="4"/>
    </w:pPr>
    <w:rPr>
      <w:b/>
      <w:bCs/>
      <w:sz w:val="22"/>
      <w:szCs w:val="22"/>
    </w:rPr>
  </w:style>
  <w:style w:type="paragraph" w:styleId="Ttulo6">
    <w:name w:val="heading 6"/>
    <w:basedOn w:val="Normal"/>
    <w:next w:val="Normal"/>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uesto">
    <w:name w:val="Title"/>
    <w:basedOn w:val="Normal"/>
    <w:next w:val="Normal"/>
    <w:pPr>
      <w:keepNext/>
      <w:keepLines/>
      <w:spacing w:before="480" w:after="120"/>
    </w:pPr>
    <w:rPr>
      <w:b/>
      <w:bCs/>
      <w:sz w:val="72"/>
      <w:szCs w:val="72"/>
    </w:rPr>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 w:type="paragraph" w:styleId="Sinespaciado">
    <w:name w:val="No Spacing"/>
    <w:uiPriority w:val="1"/>
    <w:qFormat/>
    <w:rsid w:val="00B97E4B"/>
    <w:rPr>
      <w:rFonts w:eastAsiaTheme="minorHAnsi"/>
      <w:sz w:val="22"/>
      <w:szCs w:val="22"/>
    </w:r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jGk4d1h/m0F/J9Qo2S7B0TUEDg==">CgMxLjA4AHIhMW1laUdkcXFsU3VYbWh2eEdCMFJiQ0VqaVFKSjlXWTZa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734</Words>
  <Characters>4041</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2</cp:revision>
  <dcterms:created xsi:type="dcterms:W3CDTF">2026-09-23T14:56:00Z</dcterms:created>
  <dcterms:modified xsi:type="dcterms:W3CDTF">2026-09-23T14:56:00Z</dcterms:modified>
</cp:coreProperties>
</file>