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6EF84" w14:textId="2CF91553" w:rsidR="0000084D" w:rsidRPr="00A2734B" w:rsidRDefault="0000084D">
      <w:pPr>
        <w:jc w:val="right"/>
        <w:rPr>
          <w:rFonts w:ascii="Arial" w:eastAsia="Arial" w:hAnsi="Arial" w:cs="Arial"/>
          <w:sz w:val="22"/>
          <w:szCs w:val="22"/>
        </w:rPr>
      </w:pPr>
      <w:bookmarkStart w:id="0" w:name="_GoBack"/>
      <w:bookmarkEnd w:id="0"/>
      <w:r w:rsidRPr="00A2734B">
        <w:rPr>
          <w:rFonts w:ascii="Arial" w:eastAsia="Times New Roman" w:hAnsi="Arial" w:cs="Arial"/>
          <w:b/>
          <w:bCs/>
          <w:color w:val="000000"/>
          <w:sz w:val="22"/>
          <w:szCs w:val="22"/>
        </w:rPr>
        <w:t>CP/127</w:t>
      </w:r>
      <w:r w:rsidR="00C83498">
        <w:rPr>
          <w:rFonts w:ascii="Arial" w:eastAsia="Times New Roman" w:hAnsi="Arial" w:cs="Arial"/>
          <w:b/>
          <w:bCs/>
          <w:color w:val="000000"/>
          <w:sz w:val="22"/>
          <w:szCs w:val="22"/>
        </w:rPr>
        <w:t>8</w:t>
      </w:r>
      <w:r w:rsidRPr="00A2734B">
        <w:rPr>
          <w:rFonts w:ascii="Arial" w:eastAsia="Times New Roman" w:hAnsi="Arial" w:cs="Arial"/>
          <w:b/>
          <w:bCs/>
          <w:color w:val="000000"/>
          <w:sz w:val="22"/>
          <w:szCs w:val="22"/>
        </w:rPr>
        <w:t>/2025</w:t>
      </w:r>
    </w:p>
    <w:p w14:paraId="1AE21067" w14:textId="33426453" w:rsidR="00401D82" w:rsidRDefault="00A2734B" w:rsidP="0089407D">
      <w:pPr>
        <w:jc w:val="right"/>
        <w:rPr>
          <w:rFonts w:ascii="Arial" w:eastAsia="Arial" w:hAnsi="Arial" w:cs="Arial"/>
          <w:sz w:val="22"/>
          <w:szCs w:val="22"/>
        </w:rPr>
      </w:pPr>
      <w:r>
        <w:rPr>
          <w:rFonts w:ascii="Arial" w:eastAsia="Arial" w:hAnsi="Arial" w:cs="Arial"/>
          <w:sz w:val="22"/>
          <w:szCs w:val="22"/>
        </w:rPr>
        <w:t>28 de septiembre de 2025</w:t>
      </w:r>
    </w:p>
    <w:p w14:paraId="13C26439" w14:textId="77777777" w:rsidR="0089407D" w:rsidRDefault="0089407D" w:rsidP="0089407D">
      <w:pPr>
        <w:jc w:val="right"/>
        <w:rPr>
          <w:rFonts w:ascii="Arial" w:eastAsia="Arial" w:hAnsi="Arial" w:cs="Arial"/>
          <w:sz w:val="22"/>
          <w:szCs w:val="22"/>
        </w:rPr>
      </w:pPr>
    </w:p>
    <w:p w14:paraId="3EC40C1B" w14:textId="77777777" w:rsidR="0089407D" w:rsidRPr="0089407D" w:rsidRDefault="0089407D" w:rsidP="0089407D">
      <w:pPr>
        <w:jc w:val="right"/>
        <w:rPr>
          <w:rFonts w:ascii="Arial" w:eastAsia="Arial" w:hAnsi="Arial" w:cs="Arial"/>
          <w:sz w:val="22"/>
          <w:szCs w:val="22"/>
        </w:rPr>
      </w:pPr>
    </w:p>
    <w:p w14:paraId="7FCC4FC7" w14:textId="1D9D41B7" w:rsidR="00C83498" w:rsidRPr="00894930" w:rsidRDefault="00C83498" w:rsidP="00894930">
      <w:pPr>
        <w:pStyle w:val="p1"/>
        <w:jc w:val="center"/>
        <w:rPr>
          <w:rFonts w:ascii="Arial" w:hAnsi="Arial" w:cs="Arial"/>
          <w:sz w:val="24"/>
          <w:szCs w:val="24"/>
        </w:rPr>
      </w:pPr>
      <w:r w:rsidRPr="00894930">
        <w:rPr>
          <w:rStyle w:val="s1"/>
          <w:rFonts w:ascii="Arial" w:hAnsi="Arial" w:cs="Arial"/>
          <w:sz w:val="24"/>
          <w:szCs w:val="24"/>
        </w:rPr>
        <w:t>RECONOCEN A NIVEL INTERNACIONAL</w:t>
      </w:r>
    </w:p>
    <w:p w14:paraId="5C1D94C7" w14:textId="4DF80E93" w:rsidR="00C83498" w:rsidRPr="00894930" w:rsidRDefault="00C83498" w:rsidP="00894930">
      <w:pPr>
        <w:pStyle w:val="p1"/>
        <w:jc w:val="center"/>
        <w:rPr>
          <w:rFonts w:ascii="Arial" w:hAnsi="Arial" w:cs="Arial"/>
          <w:sz w:val="24"/>
          <w:szCs w:val="24"/>
        </w:rPr>
      </w:pPr>
      <w:r w:rsidRPr="00894930">
        <w:rPr>
          <w:rStyle w:val="s1"/>
          <w:rFonts w:ascii="Arial" w:hAnsi="Arial" w:cs="Arial"/>
          <w:sz w:val="24"/>
          <w:szCs w:val="24"/>
        </w:rPr>
        <w:t>LABORATORIO DE CALIDAD DE AGUAS</w:t>
      </w:r>
      <w:r w:rsidR="009E20FB">
        <w:rPr>
          <w:rStyle w:val="s1"/>
          <w:rFonts w:ascii="Arial" w:hAnsi="Arial" w:cs="Arial"/>
          <w:sz w:val="24"/>
          <w:szCs w:val="24"/>
        </w:rPr>
        <w:t xml:space="preserve"> DE AYD</w:t>
      </w:r>
      <w:r w:rsidRPr="00894930">
        <w:rPr>
          <w:rStyle w:val="s1"/>
          <w:rFonts w:ascii="Arial" w:hAnsi="Arial" w:cs="Arial"/>
          <w:sz w:val="24"/>
          <w:szCs w:val="24"/>
        </w:rPr>
        <w:t xml:space="preserve"> </w:t>
      </w:r>
    </w:p>
    <w:p w14:paraId="75E1907F" w14:textId="77777777" w:rsidR="00C83498" w:rsidRPr="00894930" w:rsidRDefault="00C83498" w:rsidP="00894930">
      <w:pPr>
        <w:pStyle w:val="p1"/>
        <w:jc w:val="both"/>
        <w:rPr>
          <w:rFonts w:ascii="Arial" w:hAnsi="Arial" w:cs="Arial"/>
          <w:sz w:val="24"/>
          <w:szCs w:val="24"/>
        </w:rPr>
      </w:pPr>
      <w:r w:rsidRPr="00894930">
        <w:rPr>
          <w:rStyle w:val="s1"/>
          <w:rFonts w:ascii="Arial" w:hAnsi="Arial" w:cs="Arial"/>
          <w:sz w:val="24"/>
          <w:szCs w:val="24"/>
        </w:rPr>
        <w:t> </w:t>
      </w:r>
    </w:p>
    <w:p w14:paraId="69716227" w14:textId="77777777" w:rsidR="00C83498" w:rsidRPr="0089407D" w:rsidRDefault="00C83498" w:rsidP="00894930">
      <w:pPr>
        <w:pStyle w:val="p1"/>
        <w:jc w:val="both"/>
        <w:rPr>
          <w:rFonts w:ascii="Arial" w:hAnsi="Arial" w:cs="Arial"/>
          <w:sz w:val="22"/>
          <w:szCs w:val="22"/>
        </w:rPr>
      </w:pPr>
      <w:r w:rsidRPr="0089407D">
        <w:rPr>
          <w:rStyle w:val="s2"/>
          <w:rFonts w:ascii="Arial" w:hAnsi="Arial" w:cs="Arial"/>
          <w:sz w:val="22"/>
          <w:szCs w:val="22"/>
        </w:rPr>
        <w:t xml:space="preserve">• </w:t>
      </w:r>
      <w:r w:rsidRPr="0089407D">
        <w:rPr>
          <w:rStyle w:val="s3"/>
          <w:rFonts w:ascii="Arial" w:hAnsi="Arial" w:cs="Arial"/>
          <w:sz w:val="22"/>
          <w:szCs w:val="22"/>
        </w:rPr>
        <w:t>El laboratorio de AyD obtuvo por 17ª ocasión el reconocimiento internacional “Laboratorio de Excelencia”.</w:t>
      </w:r>
    </w:p>
    <w:p w14:paraId="3DCF6256" w14:textId="77777777" w:rsidR="00C83498" w:rsidRPr="0089407D" w:rsidRDefault="00C83498" w:rsidP="00894930">
      <w:pPr>
        <w:pStyle w:val="p1"/>
        <w:jc w:val="both"/>
        <w:rPr>
          <w:rFonts w:ascii="Arial" w:hAnsi="Arial" w:cs="Arial"/>
          <w:sz w:val="22"/>
          <w:szCs w:val="22"/>
        </w:rPr>
      </w:pPr>
      <w:r w:rsidRPr="0089407D">
        <w:rPr>
          <w:rStyle w:val="s2"/>
          <w:rFonts w:ascii="Arial" w:hAnsi="Arial" w:cs="Arial"/>
          <w:sz w:val="22"/>
          <w:szCs w:val="22"/>
        </w:rPr>
        <w:t xml:space="preserve">• </w:t>
      </w:r>
      <w:r w:rsidRPr="0089407D">
        <w:rPr>
          <w:rStyle w:val="s3"/>
          <w:rFonts w:ascii="Arial" w:hAnsi="Arial" w:cs="Arial"/>
          <w:sz w:val="22"/>
          <w:szCs w:val="22"/>
        </w:rPr>
        <w:t>En prueba con 288 laboratorios internacionales, la paraestatal logró 100% de aceptación en sus resultados.</w:t>
      </w:r>
    </w:p>
    <w:p w14:paraId="57FC53DC" w14:textId="77777777" w:rsidR="00C83498" w:rsidRPr="0089407D" w:rsidRDefault="00C83498" w:rsidP="00894930">
      <w:pPr>
        <w:pStyle w:val="p1"/>
        <w:jc w:val="both"/>
        <w:rPr>
          <w:rFonts w:ascii="Arial" w:hAnsi="Arial" w:cs="Arial"/>
          <w:sz w:val="22"/>
          <w:szCs w:val="22"/>
        </w:rPr>
      </w:pPr>
      <w:r w:rsidRPr="0089407D">
        <w:rPr>
          <w:rStyle w:val="s2"/>
          <w:rFonts w:ascii="Arial" w:hAnsi="Arial" w:cs="Arial"/>
          <w:sz w:val="22"/>
          <w:szCs w:val="22"/>
        </w:rPr>
        <w:t xml:space="preserve">• </w:t>
      </w:r>
      <w:r w:rsidRPr="0089407D">
        <w:rPr>
          <w:rStyle w:val="s3"/>
          <w:rFonts w:ascii="Arial" w:hAnsi="Arial" w:cs="Arial"/>
          <w:sz w:val="22"/>
          <w:szCs w:val="22"/>
        </w:rPr>
        <w:t>Con esta distinción, Agua y Drenaje de Monterrey, bajo la dirección de Eduardo Ortegón Williamson, se consolida como referente en la calidad del agua.</w:t>
      </w:r>
    </w:p>
    <w:p w14:paraId="0629F7DE" w14:textId="77777777" w:rsidR="00C83498" w:rsidRPr="0089407D" w:rsidRDefault="00C83498" w:rsidP="00894930">
      <w:pPr>
        <w:pStyle w:val="p1"/>
        <w:jc w:val="both"/>
        <w:rPr>
          <w:rFonts w:ascii="Arial" w:hAnsi="Arial" w:cs="Arial"/>
          <w:sz w:val="22"/>
          <w:szCs w:val="22"/>
        </w:rPr>
      </w:pPr>
      <w:r w:rsidRPr="0089407D">
        <w:rPr>
          <w:rStyle w:val="s3"/>
          <w:rFonts w:ascii="Arial" w:hAnsi="Arial" w:cs="Arial"/>
          <w:sz w:val="22"/>
          <w:szCs w:val="22"/>
        </w:rPr>
        <w:t> </w:t>
      </w:r>
    </w:p>
    <w:p w14:paraId="1316A411" w14:textId="77777777" w:rsidR="00C83498" w:rsidRPr="00894930" w:rsidRDefault="00C83498" w:rsidP="00894930">
      <w:pPr>
        <w:pStyle w:val="p1"/>
        <w:jc w:val="both"/>
        <w:rPr>
          <w:rFonts w:ascii="Arial" w:hAnsi="Arial" w:cs="Arial"/>
          <w:sz w:val="24"/>
          <w:szCs w:val="24"/>
        </w:rPr>
      </w:pPr>
      <w:r w:rsidRPr="00894930">
        <w:rPr>
          <w:rStyle w:val="s1"/>
          <w:rFonts w:ascii="Arial" w:hAnsi="Arial" w:cs="Arial"/>
          <w:sz w:val="24"/>
          <w:szCs w:val="24"/>
        </w:rPr>
        <w:t>Monterrey, Nuevo León.-</w:t>
      </w:r>
      <w:r w:rsidRPr="00894930">
        <w:rPr>
          <w:rStyle w:val="s2"/>
          <w:rFonts w:ascii="Arial" w:hAnsi="Arial" w:cs="Arial"/>
          <w:sz w:val="24"/>
          <w:szCs w:val="24"/>
        </w:rPr>
        <w:t xml:space="preserve"> El laboratorio Central de Calidad de Aguas de Servicios de Agua y Drenaje de Monterrey fue reconocido por 17ª ocasión, como “Laboratorio de Excelencia” por parte de </w:t>
      </w:r>
      <w:proofErr w:type="spellStart"/>
      <w:r w:rsidRPr="00894930">
        <w:rPr>
          <w:rStyle w:val="s2"/>
          <w:rFonts w:ascii="Arial" w:hAnsi="Arial" w:cs="Arial"/>
          <w:sz w:val="24"/>
          <w:szCs w:val="24"/>
        </w:rPr>
        <w:t>Environmental</w:t>
      </w:r>
      <w:proofErr w:type="spellEnd"/>
      <w:r w:rsidRPr="00894930">
        <w:rPr>
          <w:rStyle w:val="s2"/>
          <w:rFonts w:ascii="Arial" w:hAnsi="Arial" w:cs="Arial"/>
          <w:sz w:val="24"/>
          <w:szCs w:val="24"/>
        </w:rPr>
        <w:t xml:space="preserve"> </w:t>
      </w:r>
      <w:proofErr w:type="spellStart"/>
      <w:r w:rsidRPr="00894930">
        <w:rPr>
          <w:rStyle w:val="s2"/>
          <w:rFonts w:ascii="Arial" w:hAnsi="Arial" w:cs="Arial"/>
          <w:sz w:val="24"/>
          <w:szCs w:val="24"/>
        </w:rPr>
        <w:t>Resource</w:t>
      </w:r>
      <w:proofErr w:type="spellEnd"/>
      <w:r w:rsidRPr="00894930">
        <w:rPr>
          <w:rStyle w:val="s2"/>
          <w:rFonts w:ascii="Arial" w:hAnsi="Arial" w:cs="Arial"/>
          <w:sz w:val="24"/>
          <w:szCs w:val="24"/>
        </w:rPr>
        <w:t xml:space="preserve"> </w:t>
      </w:r>
      <w:proofErr w:type="spellStart"/>
      <w:r w:rsidRPr="00894930">
        <w:rPr>
          <w:rStyle w:val="s2"/>
          <w:rFonts w:ascii="Arial" w:hAnsi="Arial" w:cs="Arial"/>
          <w:sz w:val="24"/>
          <w:szCs w:val="24"/>
        </w:rPr>
        <w:t>Associates</w:t>
      </w:r>
      <w:proofErr w:type="spellEnd"/>
      <w:r w:rsidRPr="00894930">
        <w:rPr>
          <w:rStyle w:val="s2"/>
          <w:rFonts w:ascii="Arial" w:hAnsi="Arial" w:cs="Arial"/>
          <w:sz w:val="24"/>
          <w:szCs w:val="24"/>
        </w:rPr>
        <w:t xml:space="preserve"> (ERA) de Estados Unidos, organismo de referencia internacional en la evaluación de laboratorios.</w:t>
      </w:r>
    </w:p>
    <w:p w14:paraId="66A0DE4A" w14:textId="77777777" w:rsidR="00C83498" w:rsidRPr="00894930" w:rsidRDefault="00C83498" w:rsidP="00894930">
      <w:pPr>
        <w:pStyle w:val="p1"/>
        <w:jc w:val="both"/>
        <w:rPr>
          <w:rFonts w:ascii="Arial" w:hAnsi="Arial" w:cs="Arial"/>
          <w:sz w:val="24"/>
          <w:szCs w:val="24"/>
        </w:rPr>
      </w:pPr>
      <w:r w:rsidRPr="00894930">
        <w:rPr>
          <w:rStyle w:val="s2"/>
          <w:rFonts w:ascii="Arial" w:hAnsi="Arial" w:cs="Arial"/>
          <w:sz w:val="24"/>
          <w:szCs w:val="24"/>
        </w:rPr>
        <w:t> </w:t>
      </w:r>
    </w:p>
    <w:p w14:paraId="447CACFA" w14:textId="380645F1" w:rsidR="00C83498" w:rsidRPr="00894930" w:rsidRDefault="00C83498" w:rsidP="00894930">
      <w:pPr>
        <w:pStyle w:val="p1"/>
        <w:jc w:val="both"/>
        <w:rPr>
          <w:rFonts w:ascii="Arial" w:hAnsi="Arial" w:cs="Arial"/>
          <w:sz w:val="24"/>
          <w:szCs w:val="24"/>
        </w:rPr>
      </w:pPr>
      <w:r w:rsidRPr="00894930">
        <w:rPr>
          <w:rStyle w:val="s2"/>
          <w:rFonts w:ascii="Arial" w:hAnsi="Arial" w:cs="Arial"/>
          <w:sz w:val="24"/>
          <w:szCs w:val="24"/>
        </w:rPr>
        <w:t xml:space="preserve">Esta distinción se obtuvo tras una Prueba de Aptitud Técnica en la que participaron 288 laboratorios de diversos países, en la cual el Laboratorio de </w:t>
      </w:r>
      <w:r w:rsidR="00F0501C">
        <w:rPr>
          <w:rStyle w:val="s2"/>
          <w:rFonts w:ascii="Arial" w:hAnsi="Arial" w:cs="Arial"/>
          <w:sz w:val="24"/>
          <w:szCs w:val="24"/>
        </w:rPr>
        <w:t>AyD alcanzó</w:t>
      </w:r>
      <w:r w:rsidRPr="00894930">
        <w:rPr>
          <w:rStyle w:val="s2"/>
          <w:rFonts w:ascii="Arial" w:hAnsi="Arial" w:cs="Arial"/>
          <w:sz w:val="24"/>
          <w:szCs w:val="24"/>
        </w:rPr>
        <w:t xml:space="preserve"> un 100% de aceptación en los resultados de sus análisis, lo que refleja su solidez técnica y confiabilidad.</w:t>
      </w:r>
    </w:p>
    <w:p w14:paraId="7E04C277" w14:textId="77777777" w:rsidR="00C83498" w:rsidRPr="00894930" w:rsidRDefault="00C83498" w:rsidP="00894930">
      <w:pPr>
        <w:pStyle w:val="p1"/>
        <w:jc w:val="both"/>
        <w:rPr>
          <w:rFonts w:ascii="Arial" w:hAnsi="Arial" w:cs="Arial"/>
          <w:sz w:val="24"/>
          <w:szCs w:val="24"/>
        </w:rPr>
      </w:pPr>
      <w:r w:rsidRPr="00894930">
        <w:rPr>
          <w:rStyle w:val="s2"/>
          <w:rFonts w:ascii="Arial" w:hAnsi="Arial" w:cs="Arial"/>
          <w:sz w:val="24"/>
          <w:szCs w:val="24"/>
        </w:rPr>
        <w:t> </w:t>
      </w:r>
    </w:p>
    <w:p w14:paraId="17A552A8" w14:textId="77777777" w:rsidR="00C83498" w:rsidRPr="00894930" w:rsidRDefault="00C83498" w:rsidP="00894930">
      <w:pPr>
        <w:pStyle w:val="p1"/>
        <w:jc w:val="both"/>
        <w:rPr>
          <w:rFonts w:ascii="Arial" w:hAnsi="Arial" w:cs="Arial"/>
          <w:sz w:val="24"/>
          <w:szCs w:val="24"/>
        </w:rPr>
      </w:pPr>
      <w:r w:rsidRPr="00894930">
        <w:rPr>
          <w:rStyle w:val="s2"/>
          <w:rFonts w:ascii="Arial" w:hAnsi="Arial" w:cs="Arial"/>
          <w:sz w:val="24"/>
          <w:szCs w:val="24"/>
        </w:rPr>
        <w:t>Este reconocimiento reafirma el compromiso de la paraestatal que encabeza Eduardo Ortegón Williamson con la calidad analítica, la competencia técnica y el cumplimiento de estándares nacionales e internacionales para el suministro de agua segura y confiable a la ciudadanía.</w:t>
      </w:r>
    </w:p>
    <w:p w14:paraId="3C60C170" w14:textId="77777777" w:rsidR="00C83498" w:rsidRPr="00894930" w:rsidRDefault="00C83498" w:rsidP="00894930">
      <w:pPr>
        <w:pStyle w:val="p1"/>
        <w:jc w:val="both"/>
        <w:rPr>
          <w:rFonts w:ascii="Arial" w:hAnsi="Arial" w:cs="Arial"/>
          <w:sz w:val="24"/>
          <w:szCs w:val="24"/>
        </w:rPr>
      </w:pPr>
      <w:r w:rsidRPr="00894930">
        <w:rPr>
          <w:rStyle w:val="s2"/>
          <w:rFonts w:ascii="Arial" w:hAnsi="Arial" w:cs="Arial"/>
          <w:sz w:val="24"/>
          <w:szCs w:val="24"/>
        </w:rPr>
        <w:t> </w:t>
      </w:r>
    </w:p>
    <w:p w14:paraId="66E9A753" w14:textId="77777777" w:rsidR="00C83498" w:rsidRPr="00894930" w:rsidRDefault="00C83498" w:rsidP="00894930">
      <w:pPr>
        <w:pStyle w:val="p1"/>
        <w:jc w:val="both"/>
        <w:rPr>
          <w:rFonts w:ascii="Arial" w:hAnsi="Arial" w:cs="Arial"/>
          <w:sz w:val="24"/>
          <w:szCs w:val="24"/>
        </w:rPr>
      </w:pPr>
      <w:r w:rsidRPr="00894930">
        <w:rPr>
          <w:rStyle w:val="s2"/>
          <w:rFonts w:ascii="Arial" w:hAnsi="Arial" w:cs="Arial"/>
          <w:sz w:val="24"/>
          <w:szCs w:val="24"/>
        </w:rPr>
        <w:t>Cabe destacar que el pasado 19 de septiembre, el Laboratorio Central también fue reconocido por haber obtenido resultados altamente satisfactorios en la prueba de aptitud técnica coordinada por la Comisión Nacional del Agua, manteniendo así su aprobación vigente ante esta autoridad federal.</w:t>
      </w:r>
    </w:p>
    <w:p w14:paraId="2CC4F97D" w14:textId="77777777" w:rsidR="00C83498" w:rsidRPr="00894930" w:rsidRDefault="00C83498" w:rsidP="00894930">
      <w:pPr>
        <w:pStyle w:val="p1"/>
        <w:jc w:val="both"/>
        <w:rPr>
          <w:rFonts w:ascii="Arial" w:hAnsi="Arial" w:cs="Arial"/>
          <w:sz w:val="24"/>
          <w:szCs w:val="24"/>
        </w:rPr>
      </w:pPr>
      <w:r w:rsidRPr="00894930">
        <w:rPr>
          <w:rStyle w:val="s2"/>
          <w:rFonts w:ascii="Arial" w:hAnsi="Arial" w:cs="Arial"/>
          <w:sz w:val="24"/>
          <w:szCs w:val="24"/>
        </w:rPr>
        <w:t> </w:t>
      </w:r>
    </w:p>
    <w:p w14:paraId="1BA3FE30" w14:textId="77777777" w:rsidR="00C83498" w:rsidRPr="00894930" w:rsidRDefault="00C83498" w:rsidP="00894930">
      <w:pPr>
        <w:pStyle w:val="p1"/>
        <w:jc w:val="both"/>
        <w:rPr>
          <w:rFonts w:ascii="Arial" w:hAnsi="Arial" w:cs="Arial"/>
          <w:sz w:val="24"/>
          <w:szCs w:val="24"/>
        </w:rPr>
      </w:pPr>
      <w:r w:rsidRPr="00894930">
        <w:rPr>
          <w:rStyle w:val="s2"/>
          <w:rFonts w:ascii="Arial" w:hAnsi="Arial" w:cs="Arial"/>
          <w:sz w:val="24"/>
          <w:szCs w:val="24"/>
        </w:rPr>
        <w:t xml:space="preserve">Con logros como estos, Servicios de Agua y Drenaje de Monterrey se consolida </w:t>
      </w:r>
      <w:proofErr w:type="gramStart"/>
      <w:r w:rsidRPr="00894930">
        <w:rPr>
          <w:rStyle w:val="s2"/>
          <w:rFonts w:ascii="Arial" w:hAnsi="Arial" w:cs="Arial"/>
          <w:sz w:val="24"/>
          <w:szCs w:val="24"/>
        </w:rPr>
        <w:t>como</w:t>
      </w:r>
      <w:proofErr w:type="gramEnd"/>
      <w:r w:rsidRPr="00894930">
        <w:rPr>
          <w:rStyle w:val="s2"/>
          <w:rFonts w:ascii="Arial" w:hAnsi="Arial" w:cs="Arial"/>
          <w:sz w:val="24"/>
          <w:szCs w:val="24"/>
        </w:rPr>
        <w:t xml:space="preserve"> un referente en la evaluación de la calidad del agua, gracias al trabajo de su personal especializado y al respaldo de las áreas que fortalecen este esfuerzo.</w:t>
      </w:r>
    </w:p>
    <w:p w14:paraId="7D5B3FBD" w14:textId="77777777" w:rsidR="00C83498" w:rsidRPr="00894930" w:rsidRDefault="00C83498" w:rsidP="00894930">
      <w:pPr>
        <w:pStyle w:val="p1"/>
        <w:jc w:val="both"/>
        <w:rPr>
          <w:rFonts w:ascii="Arial" w:hAnsi="Arial" w:cs="Arial"/>
          <w:sz w:val="24"/>
          <w:szCs w:val="24"/>
        </w:rPr>
      </w:pPr>
      <w:r w:rsidRPr="00894930">
        <w:rPr>
          <w:rStyle w:val="s2"/>
          <w:rFonts w:ascii="Arial" w:hAnsi="Arial" w:cs="Arial"/>
          <w:sz w:val="24"/>
          <w:szCs w:val="24"/>
        </w:rPr>
        <w:t> </w:t>
      </w:r>
    </w:p>
    <w:p w14:paraId="7C63DDB5" w14:textId="77777777" w:rsidR="00401D82" w:rsidRPr="00894930" w:rsidRDefault="00401D82" w:rsidP="00894930">
      <w:pPr>
        <w:jc w:val="both"/>
        <w:rPr>
          <w:rFonts w:ascii="Arial" w:eastAsia="Arial" w:hAnsi="Arial" w:cs="Arial"/>
        </w:rPr>
      </w:pPr>
    </w:p>
    <w:sectPr w:rsidR="00401D82" w:rsidRPr="00894930">
      <w:headerReference w:type="default" r:id="rId7"/>
      <w:footerReference w:type="default" r:id="rId8"/>
      <w:pgSz w:w="12240" w:h="15840"/>
      <w:pgMar w:top="2516" w:right="1800" w:bottom="1618" w:left="1800" w:header="720" w:footer="152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3ABFD5" w14:textId="77777777" w:rsidR="00517549" w:rsidRDefault="00517549">
      <w:r>
        <w:separator/>
      </w:r>
    </w:p>
  </w:endnote>
  <w:endnote w:type="continuationSeparator" w:id="0">
    <w:p w14:paraId="145299B2" w14:textId="77777777" w:rsidR="00517549" w:rsidRDefault="00517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EF8AF" w14:textId="77777777" w:rsidR="00401D82" w:rsidRDefault="00A2734B">
    <w:pPr>
      <w:pBdr>
        <w:top w:val="nil"/>
        <w:left w:val="nil"/>
        <w:bottom w:val="nil"/>
        <w:right w:val="nil"/>
        <w:between w:val="nil"/>
      </w:pBdr>
      <w:tabs>
        <w:tab w:val="center" w:pos="4320"/>
        <w:tab w:val="right" w:pos="8640"/>
      </w:tabs>
      <w:rPr>
        <w:color w:val="000000"/>
      </w:rPr>
    </w:pPr>
    <w:r>
      <w:rPr>
        <w:noProof/>
      </w:rPr>
      <w:drawing>
        <wp:anchor distT="0" distB="0" distL="0" distR="0" simplePos="0" relativeHeight="251659264" behindDoc="1" locked="0" layoutInCell="1" hidden="0" allowOverlap="1" wp14:anchorId="72A8B26A" wp14:editId="4CD183B8">
          <wp:simplePos x="0" y="0"/>
          <wp:positionH relativeFrom="column">
            <wp:posOffset>-1142999</wp:posOffset>
          </wp:positionH>
          <wp:positionV relativeFrom="paragraph">
            <wp:posOffset>32384</wp:posOffset>
          </wp:positionV>
          <wp:extent cx="7783830" cy="1337945"/>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86716"/>
                  <a:stretch>
                    <a:fillRect/>
                  </a:stretch>
                </pic:blipFill>
                <pic:spPr>
                  <a:xfrm>
                    <a:off x="0" y="0"/>
                    <a:ext cx="7783830" cy="1337945"/>
                  </a:xfrm>
                  <a:prstGeom prst="rect">
                    <a:avLst/>
                  </a:prstGeom>
                  <a:ln/>
                </pic:spPr>
              </pic:pic>
            </a:graphicData>
          </a:graphic>
        </wp:anchor>
      </w:drawing>
    </w:r>
  </w:p>
  <w:p w14:paraId="0F9731A3" w14:textId="77777777" w:rsidR="00401D82" w:rsidRDefault="00401D82">
    <w:pPr>
      <w:pBdr>
        <w:top w:val="nil"/>
        <w:left w:val="nil"/>
        <w:bottom w:val="nil"/>
        <w:right w:val="nil"/>
        <w:between w:val="nil"/>
      </w:pBdr>
      <w:tabs>
        <w:tab w:val="center" w:pos="4320"/>
        <w:tab w:val="right" w:pos="8640"/>
      </w:tabs>
      <w:rPr>
        <w:color w:val="000000"/>
      </w:rPr>
    </w:pPr>
  </w:p>
  <w:p w14:paraId="3657E872" w14:textId="77777777" w:rsidR="00401D82" w:rsidRDefault="00401D82">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EB969" w14:textId="77777777" w:rsidR="00517549" w:rsidRDefault="00517549">
      <w:r>
        <w:separator/>
      </w:r>
    </w:p>
  </w:footnote>
  <w:footnote w:type="continuationSeparator" w:id="0">
    <w:p w14:paraId="5B38578D" w14:textId="77777777" w:rsidR="00517549" w:rsidRDefault="005175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34CC2" w14:textId="77777777" w:rsidR="00401D82" w:rsidRDefault="00A2734B">
    <w:pPr>
      <w:pBdr>
        <w:top w:val="nil"/>
        <w:left w:val="nil"/>
        <w:bottom w:val="nil"/>
        <w:right w:val="nil"/>
        <w:between w:val="nil"/>
      </w:pBdr>
      <w:tabs>
        <w:tab w:val="center" w:pos="4320"/>
        <w:tab w:val="right" w:pos="8640"/>
        <w:tab w:val="left" w:pos="1173"/>
      </w:tabs>
      <w:rPr>
        <w:color w:val="000000"/>
      </w:rPr>
    </w:pPr>
    <w:r>
      <w:rPr>
        <w:noProof/>
      </w:rPr>
      <w:drawing>
        <wp:anchor distT="0" distB="0" distL="0" distR="0" simplePos="0" relativeHeight="251658240" behindDoc="1" locked="0" layoutInCell="1" hidden="0" allowOverlap="1" wp14:anchorId="659C39DD" wp14:editId="3564AF5F">
          <wp:simplePos x="0" y="0"/>
          <wp:positionH relativeFrom="column">
            <wp:posOffset>-1151889</wp:posOffset>
          </wp:positionH>
          <wp:positionV relativeFrom="paragraph">
            <wp:posOffset>-1170304</wp:posOffset>
          </wp:positionV>
          <wp:extent cx="7792278" cy="12834818"/>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92278" cy="12834818"/>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01078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D82"/>
    <w:rsid w:val="0000084D"/>
    <w:rsid w:val="00401D82"/>
    <w:rsid w:val="00434A9D"/>
    <w:rsid w:val="00517549"/>
    <w:rsid w:val="00522C8C"/>
    <w:rsid w:val="006418F7"/>
    <w:rsid w:val="00653DA7"/>
    <w:rsid w:val="0089407D"/>
    <w:rsid w:val="00894930"/>
    <w:rsid w:val="009E20FB"/>
    <w:rsid w:val="00A2734B"/>
    <w:rsid w:val="00C83498"/>
    <w:rsid w:val="00CF2FF2"/>
    <w:rsid w:val="00F050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CC536"/>
  <w15:docId w15:val="{4D485C05-848F-174A-BAED-E8C9B1151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p1">
    <w:name w:val="p1"/>
    <w:basedOn w:val="Normal"/>
    <w:rsid w:val="00C83498"/>
    <w:rPr>
      <w:rFonts w:ascii=".SF UI" w:eastAsiaTheme="minorEastAsia" w:hAnsi=".SF UI" w:cs="Times New Roman"/>
      <w:sz w:val="18"/>
      <w:szCs w:val="18"/>
    </w:rPr>
  </w:style>
  <w:style w:type="character" w:customStyle="1" w:styleId="s1">
    <w:name w:val="s1"/>
    <w:basedOn w:val="Fuentedeprrafopredeter"/>
    <w:rsid w:val="00C83498"/>
    <w:rPr>
      <w:rFonts w:ascii=".SFUI-Semibold" w:hAnsi=".SFUI-Semibold" w:hint="default"/>
      <w:b/>
      <w:bCs/>
      <w:i w:val="0"/>
      <w:iCs w:val="0"/>
      <w:sz w:val="18"/>
      <w:szCs w:val="18"/>
    </w:rPr>
  </w:style>
  <w:style w:type="character" w:customStyle="1" w:styleId="s2">
    <w:name w:val="s2"/>
    <w:basedOn w:val="Fuentedeprrafopredeter"/>
    <w:rsid w:val="00C83498"/>
    <w:rPr>
      <w:rFonts w:ascii=".SFUI-Regular" w:hAnsi=".SFUI-Regular" w:hint="default"/>
      <w:b w:val="0"/>
      <w:bCs w:val="0"/>
      <w:i w:val="0"/>
      <w:iCs w:val="0"/>
      <w:sz w:val="18"/>
      <w:szCs w:val="18"/>
    </w:rPr>
  </w:style>
  <w:style w:type="character" w:customStyle="1" w:styleId="s3">
    <w:name w:val="s3"/>
    <w:basedOn w:val="Fuentedeprrafopredeter"/>
    <w:rsid w:val="00C83498"/>
    <w:rPr>
      <w:rFonts w:ascii=".SFUI-RegularItalic" w:hAnsi=".SFUI-RegularItalic" w:hint="default"/>
      <w:b w:val="0"/>
      <w:bCs w:val="0"/>
      <w:i/>
      <w:iCs/>
      <w:sz w:val="18"/>
      <w:szCs w:val="18"/>
    </w:rPr>
  </w:style>
  <w:style w:type="character" w:customStyle="1" w:styleId="apple-converted-space">
    <w:name w:val="apple-converted-space"/>
    <w:basedOn w:val="Fuentedeprrafopredeter"/>
    <w:rsid w:val="00C83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1603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Rosalinda Tovar Barboza</dc:creator>
  <cp:lastModifiedBy>Rosalinda Tovar Barboza</cp:lastModifiedBy>
  <cp:revision>2</cp:revision>
  <dcterms:created xsi:type="dcterms:W3CDTF">2025-09-29T17:11:00Z</dcterms:created>
  <dcterms:modified xsi:type="dcterms:W3CDTF">2025-09-29T17:11:00Z</dcterms:modified>
</cp:coreProperties>
</file>