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21ADF3" w:rsidR="00EA29FA" w:rsidRPr="00C60FD1" w:rsidRDefault="0098361D" w:rsidP="00EA29FA">
      <w:pPr>
        <w:jc w:val="right"/>
        <w:rPr>
          <w:rFonts w:ascii="Arial" w:hAnsi="Arial" w:cs="Arial"/>
          <w:b/>
          <w:sz w:val="22"/>
          <w:lang w:val="es-ES"/>
        </w:rPr>
      </w:pPr>
      <w:r>
        <w:rPr>
          <w:rFonts w:ascii="Arial" w:hAnsi="Arial" w:cs="Arial"/>
          <w:b/>
          <w:sz w:val="22"/>
          <w:lang w:val="es-ES"/>
        </w:rPr>
        <w:t>CP/1531</w:t>
      </w:r>
      <w:r w:rsidR="00EA29FA">
        <w:rPr>
          <w:rFonts w:ascii="Arial" w:hAnsi="Arial" w:cs="Arial"/>
          <w:b/>
          <w:sz w:val="22"/>
          <w:lang w:val="es-ES"/>
        </w:rPr>
        <w:t>/2025</w:t>
      </w:r>
    </w:p>
    <w:p w14:paraId="695E3F55" w14:textId="7285B485" w:rsidR="00703B09" w:rsidRDefault="0098361D" w:rsidP="00703B09">
      <w:pPr>
        <w:jc w:val="right"/>
        <w:rPr>
          <w:rFonts w:ascii="Arial" w:hAnsi="Arial" w:cs="Arial"/>
          <w:sz w:val="22"/>
          <w:lang w:val="es-ES"/>
        </w:rPr>
      </w:pPr>
      <w:r>
        <w:rPr>
          <w:rFonts w:ascii="Arial" w:hAnsi="Arial" w:cs="Arial"/>
          <w:sz w:val="22"/>
          <w:lang w:val="es-ES"/>
        </w:rPr>
        <w:t>5</w:t>
      </w:r>
      <w:r w:rsidR="00EA29FA">
        <w:rPr>
          <w:rFonts w:ascii="Arial" w:hAnsi="Arial" w:cs="Arial"/>
          <w:sz w:val="22"/>
          <w:lang w:val="es-ES"/>
        </w:rPr>
        <w:t xml:space="preserve"> 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6E50AD0" w:rsidR="00A23A57" w:rsidRDefault="0098361D" w:rsidP="00580ABF">
      <w:pPr>
        <w:jc w:val="center"/>
        <w:rPr>
          <w:rFonts w:ascii="Arial" w:hAnsi="Arial" w:cs="Arial"/>
          <w:b/>
          <w:sz w:val="28"/>
          <w:szCs w:val="28"/>
        </w:rPr>
      </w:pPr>
      <w:r w:rsidRPr="0098361D">
        <w:rPr>
          <w:rFonts w:ascii="Arial" w:hAnsi="Arial" w:cs="Arial"/>
          <w:b/>
          <w:sz w:val="28"/>
          <w:szCs w:val="28"/>
        </w:rPr>
        <w:t>NUEVO LEÓN REACTIVA TRES RUTAS NACIONALES Y FORTALECE SU CONECTIVIDAD AÉREA CON DURANGO, ACAPULCO Y TAPACHULA</w:t>
      </w:r>
    </w:p>
    <w:p w14:paraId="4F730ED2" w14:textId="77777777" w:rsidR="00580ABF" w:rsidRDefault="00580ABF" w:rsidP="00580ABF">
      <w:pPr>
        <w:jc w:val="center"/>
        <w:rPr>
          <w:rFonts w:ascii="Arial" w:hAnsi="Arial" w:cs="Arial"/>
          <w:b/>
          <w:sz w:val="28"/>
          <w:szCs w:val="28"/>
        </w:rPr>
      </w:pPr>
    </w:p>
    <w:p w14:paraId="42D4CAD6" w14:textId="55EF6072" w:rsidR="00EA29FA" w:rsidRDefault="0098361D" w:rsidP="0098361D">
      <w:pPr>
        <w:pStyle w:val="Prrafodelista"/>
        <w:numPr>
          <w:ilvl w:val="0"/>
          <w:numId w:val="18"/>
        </w:numPr>
        <w:jc w:val="both"/>
        <w:rPr>
          <w:rFonts w:ascii="Arial" w:hAnsi="Arial" w:cs="Arial"/>
          <w:i/>
        </w:rPr>
      </w:pPr>
      <w:r w:rsidRPr="0098361D">
        <w:rPr>
          <w:rFonts w:ascii="Arial" w:hAnsi="Arial" w:cs="Arial"/>
          <w:i/>
        </w:rPr>
        <w:t>VIVA reactivó los vuelos Monterrey–Durango, Monterrey–Acapulco y Monterrey–Tapachula, fortaleciendo la red nacional del estado</w:t>
      </w:r>
      <w:r>
        <w:rPr>
          <w:rFonts w:ascii="Arial" w:hAnsi="Arial" w:cs="Arial"/>
          <w:i/>
        </w:rPr>
        <w:t>.</w:t>
      </w:r>
    </w:p>
    <w:p w14:paraId="3BDC9B30" w14:textId="7A7072FC" w:rsidR="0098361D" w:rsidRDefault="0098361D" w:rsidP="0098361D">
      <w:pPr>
        <w:pStyle w:val="Prrafodelista"/>
        <w:numPr>
          <w:ilvl w:val="0"/>
          <w:numId w:val="18"/>
        </w:numPr>
        <w:jc w:val="both"/>
        <w:rPr>
          <w:rFonts w:ascii="Arial" w:hAnsi="Arial" w:cs="Arial"/>
          <w:i/>
        </w:rPr>
      </w:pPr>
      <w:r w:rsidRPr="0098361D">
        <w:rPr>
          <w:rFonts w:ascii="Arial" w:hAnsi="Arial" w:cs="Arial"/>
          <w:i/>
        </w:rPr>
        <w:t>La Secretaría de Turismo de Nuevo León destacó que estas reactivaciones impulsan la movilidad, el turismo y la colaboración entre entidades</w:t>
      </w:r>
      <w:r>
        <w:rPr>
          <w:rFonts w:ascii="Arial" w:hAnsi="Arial" w:cs="Arial"/>
          <w:i/>
        </w:rPr>
        <w:t>.</w:t>
      </w:r>
    </w:p>
    <w:p w14:paraId="06440495" w14:textId="77777777" w:rsidR="0098361D" w:rsidRPr="00C90637" w:rsidRDefault="0098361D" w:rsidP="0098361D">
      <w:pPr>
        <w:pStyle w:val="Prrafodelista"/>
        <w:jc w:val="both"/>
        <w:rPr>
          <w:rFonts w:ascii="Arial" w:hAnsi="Arial" w:cs="Arial"/>
          <w:i/>
        </w:rPr>
      </w:pPr>
    </w:p>
    <w:p w14:paraId="651AF938" w14:textId="7061D30C" w:rsidR="0098361D" w:rsidRDefault="0098361D" w:rsidP="0098361D">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sidR="00EA29FA">
        <w:rPr>
          <w:rFonts w:ascii="Arial" w:hAnsi="Arial" w:cs="Arial"/>
          <w:b/>
          <w:sz w:val="28"/>
          <w:szCs w:val="28"/>
        </w:rPr>
        <w:t xml:space="preserve"> </w:t>
      </w:r>
      <w:r w:rsidRPr="0098361D">
        <w:rPr>
          <w:rFonts w:ascii="Arial" w:hAnsi="Arial" w:cs="Arial"/>
          <w:sz w:val="28"/>
          <w:szCs w:val="28"/>
        </w:rPr>
        <w:t>La Secretaría de Turismo de Nuevo León acompañó las actividades por la react</w:t>
      </w:r>
      <w:r>
        <w:rPr>
          <w:rFonts w:ascii="Arial" w:hAnsi="Arial" w:cs="Arial"/>
          <w:sz w:val="28"/>
          <w:szCs w:val="28"/>
        </w:rPr>
        <w:t>ivación de los vuelos Monterrey-Durango y Monterrey-</w:t>
      </w:r>
      <w:r w:rsidRPr="0098361D">
        <w:rPr>
          <w:rFonts w:ascii="Arial" w:hAnsi="Arial" w:cs="Arial"/>
          <w:sz w:val="28"/>
          <w:szCs w:val="28"/>
        </w:rPr>
        <w:t>Ac</w:t>
      </w:r>
      <w:r>
        <w:rPr>
          <w:rFonts w:ascii="Arial" w:hAnsi="Arial" w:cs="Arial"/>
          <w:sz w:val="28"/>
          <w:szCs w:val="28"/>
        </w:rPr>
        <w:t>apulco, que junto con Monterrey-</w:t>
      </w:r>
      <w:r w:rsidRPr="0098361D">
        <w:rPr>
          <w:rFonts w:ascii="Arial" w:hAnsi="Arial" w:cs="Arial"/>
          <w:sz w:val="28"/>
          <w:szCs w:val="28"/>
        </w:rPr>
        <w:t>Tapachula fortalecen la conectividad del estado con el norte, centro y sur del país.</w:t>
      </w:r>
    </w:p>
    <w:p w14:paraId="2296EC06" w14:textId="77777777" w:rsidR="0098361D" w:rsidRPr="0098361D" w:rsidRDefault="0098361D" w:rsidP="0098361D">
      <w:pPr>
        <w:jc w:val="both"/>
        <w:rPr>
          <w:rFonts w:ascii="Arial" w:hAnsi="Arial" w:cs="Arial"/>
          <w:sz w:val="28"/>
          <w:szCs w:val="28"/>
        </w:rPr>
      </w:pPr>
    </w:p>
    <w:p w14:paraId="56D7CE02" w14:textId="77777777" w:rsidR="0098361D" w:rsidRDefault="0098361D" w:rsidP="0098361D">
      <w:pPr>
        <w:jc w:val="both"/>
        <w:rPr>
          <w:rFonts w:ascii="Arial" w:hAnsi="Arial" w:cs="Arial"/>
          <w:sz w:val="28"/>
          <w:szCs w:val="28"/>
        </w:rPr>
      </w:pPr>
      <w:r w:rsidRPr="0098361D">
        <w:rPr>
          <w:rFonts w:ascii="Arial" w:hAnsi="Arial" w:cs="Arial"/>
          <w:sz w:val="28"/>
          <w:szCs w:val="28"/>
        </w:rPr>
        <w:t>La secretaria Maricarmen Martínez Villarreal subrayó que estos vuelos son resultado de la coordinación entre gobiernos estatales, OMA y VIVA, y reflejan el liderazgo de Nuevo León en conectividad aérea.</w:t>
      </w:r>
    </w:p>
    <w:p w14:paraId="12E96F22" w14:textId="77777777" w:rsidR="0098361D" w:rsidRPr="0098361D" w:rsidRDefault="0098361D" w:rsidP="0098361D">
      <w:pPr>
        <w:jc w:val="both"/>
        <w:rPr>
          <w:rFonts w:ascii="Arial" w:hAnsi="Arial" w:cs="Arial"/>
          <w:sz w:val="28"/>
          <w:szCs w:val="28"/>
        </w:rPr>
      </w:pPr>
    </w:p>
    <w:p w14:paraId="3006F573" w14:textId="77777777" w:rsidR="0098361D" w:rsidRDefault="0098361D" w:rsidP="0098361D">
      <w:pPr>
        <w:jc w:val="both"/>
        <w:rPr>
          <w:rFonts w:ascii="Arial" w:hAnsi="Arial" w:cs="Arial"/>
          <w:sz w:val="28"/>
          <w:szCs w:val="28"/>
        </w:rPr>
      </w:pPr>
      <w:r w:rsidRPr="0098361D">
        <w:rPr>
          <w:rFonts w:ascii="Arial" w:hAnsi="Arial" w:cs="Arial"/>
          <w:sz w:val="28"/>
          <w:szCs w:val="28"/>
        </w:rPr>
        <w:t>“Cada nueva ruta representa confianza y crecimiento compartido. Con estas reactivaciones seguimos impulsando la conectividad y generando oportunidades para que todas y todos viajen más y mejor desde Nuevo León”, expresó Martínez Villarreal.</w:t>
      </w:r>
    </w:p>
    <w:p w14:paraId="205933BC" w14:textId="77777777" w:rsidR="0098361D" w:rsidRPr="0098361D" w:rsidRDefault="0098361D" w:rsidP="0098361D">
      <w:pPr>
        <w:jc w:val="both"/>
        <w:rPr>
          <w:rFonts w:ascii="Arial" w:hAnsi="Arial" w:cs="Arial"/>
          <w:sz w:val="28"/>
          <w:szCs w:val="28"/>
        </w:rPr>
      </w:pPr>
    </w:p>
    <w:p w14:paraId="34A92859" w14:textId="5BC08E74" w:rsidR="0098361D" w:rsidRPr="00EA29FA" w:rsidRDefault="0098361D" w:rsidP="0098361D">
      <w:pPr>
        <w:jc w:val="both"/>
        <w:rPr>
          <w:rFonts w:ascii="Arial" w:hAnsi="Arial" w:cs="Arial"/>
          <w:bCs/>
          <w:color w:val="323E4F"/>
        </w:rPr>
      </w:pPr>
      <w:r w:rsidRPr="0098361D">
        <w:rPr>
          <w:rFonts w:ascii="Arial" w:hAnsi="Arial" w:cs="Arial"/>
          <w:sz w:val="28"/>
          <w:szCs w:val="28"/>
        </w:rPr>
        <w:t xml:space="preserve">La Secretaría de Turismo </w:t>
      </w:r>
      <w:r>
        <w:rPr>
          <w:rFonts w:ascii="Arial" w:hAnsi="Arial" w:cs="Arial"/>
          <w:sz w:val="28"/>
          <w:szCs w:val="28"/>
        </w:rPr>
        <w:t>informó que las rutas Monterrey-Durango, Monterrey-Acapulco y Monterrey-</w:t>
      </w:r>
      <w:r w:rsidRPr="0098361D">
        <w:rPr>
          <w:rFonts w:ascii="Arial" w:hAnsi="Arial" w:cs="Arial"/>
          <w:sz w:val="28"/>
          <w:szCs w:val="28"/>
        </w:rPr>
        <w:t>Tapachula operan con varias frecuencias semanales que fortalecen la conectividad aérea del estado con el norte, centro y sur del país.</w:t>
      </w:r>
    </w:p>
    <w:p w14:paraId="78763BE5" w14:textId="396A7739" w:rsidR="00EA29FA" w:rsidRDefault="00EA29FA" w:rsidP="00C90637">
      <w:pPr>
        <w:jc w:val="both"/>
        <w:rPr>
          <w:rFonts w:ascii="Arial" w:hAnsi="Arial" w:cs="Arial"/>
          <w:bCs/>
          <w:color w:val="323E4F"/>
        </w:rPr>
      </w:pPr>
    </w:p>
    <w:tbl>
      <w:tblPr>
        <w:tblW w:w="0" w:type="auto"/>
        <w:tblCellSpacing w:w="22" w:type="dxa"/>
        <w:tblBorders>
          <w:top w:val="single" w:sz="8" w:space="0" w:color="auto"/>
          <w:left w:val="single" w:sz="8" w:space="0" w:color="auto"/>
          <w:bottom w:val="single" w:sz="8" w:space="0" w:color="auto"/>
          <w:right w:val="single" w:sz="8" w:space="0" w:color="auto"/>
        </w:tblBorders>
        <w:shd w:val="clear" w:color="auto" w:fill="E8E8E8"/>
        <w:tblCellMar>
          <w:left w:w="0" w:type="dxa"/>
          <w:right w:w="0" w:type="dxa"/>
        </w:tblCellMar>
        <w:tblLook w:val="04A0" w:firstRow="1" w:lastRow="0" w:firstColumn="1" w:lastColumn="0" w:noHBand="0" w:noVBand="1"/>
      </w:tblPr>
      <w:tblGrid>
        <w:gridCol w:w="1629"/>
        <w:gridCol w:w="1151"/>
        <w:gridCol w:w="1462"/>
        <w:gridCol w:w="1613"/>
        <w:gridCol w:w="1338"/>
        <w:gridCol w:w="1427"/>
      </w:tblGrid>
      <w:tr w:rsidR="0098361D" w:rsidRPr="00837743" w14:paraId="1F9AA19A" w14:textId="77777777" w:rsidTr="00E50E87">
        <w:trPr>
          <w:tblHeade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7A2D0170"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lastRenderedPageBreak/>
              <w:t>Ruta</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2B9D2E95"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Clave de vuelo</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4810DE93"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Frecuencias</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4A377C14"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Días de operación</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4D9FDA77"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Horario de salida (MTY)</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088CE0D9"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Horario de regreso (MTY)</w:t>
            </w:r>
          </w:p>
        </w:tc>
      </w:tr>
      <w:tr w:rsidR="0098361D" w:rsidRPr="00837743" w14:paraId="50BC8F17" w14:textId="77777777" w:rsidTr="00E50E8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0A365057"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Monterrey–Durango</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60B4C057"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VB4002</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1143C64A"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3 por semana</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701AC1F2"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Lunes, miércoles y viernes</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4D8F628A"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14:30 h</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10C42B44"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17:30 h</w:t>
            </w:r>
          </w:p>
        </w:tc>
      </w:tr>
      <w:tr w:rsidR="0098361D" w:rsidRPr="00837743" w14:paraId="399E88F4" w14:textId="77777777" w:rsidTr="00E50E8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6CCA58D1"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Monterrey–Acapulco</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29BE469C"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VB4050</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03A78BBE"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2 por semana</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4DA8ACEC"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Lunes y viernes</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5AFEBCB7"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19:50 h</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799A904B"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00:25 h</w:t>
            </w:r>
          </w:p>
        </w:tc>
      </w:tr>
      <w:tr w:rsidR="0098361D" w:rsidRPr="00837743" w14:paraId="3E48E7F1" w14:textId="77777777" w:rsidTr="00E50E8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11F8CE49"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Monterrey–Tapachula</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110E919A"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val="es-ES_tradnl" w:eastAsia="es-MX"/>
              </w:rPr>
              <w:t>VB4386</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76F47491"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3 por semana</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1B28E4A6"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val="es-ES_tradnl" w:eastAsia="es-MX"/>
              </w:rPr>
              <w:t>Martes, jueves y sábado</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0AD88575" w14:textId="77777777" w:rsidR="0098361D" w:rsidRPr="00837743" w:rsidRDefault="0098361D" w:rsidP="00E50E87">
            <w:pPr>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5:40 - 8:05 (M)</w:t>
            </w:r>
          </w:p>
          <w:p w14:paraId="2F84821E" w14:textId="77777777" w:rsidR="0098361D" w:rsidRPr="00837743" w:rsidRDefault="0098361D" w:rsidP="00E50E87">
            <w:pPr>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14:00 - 16:25 (J)</w:t>
            </w:r>
          </w:p>
          <w:p w14:paraId="09807D9D" w14:textId="77777777" w:rsidR="0098361D" w:rsidRPr="00837743" w:rsidRDefault="0098361D" w:rsidP="00E50E87">
            <w:pPr>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18:25 - 20:50 (S)</w:t>
            </w:r>
          </w:p>
        </w:tc>
        <w:tc>
          <w:tcPr>
            <w:tcW w:w="0" w:type="auto"/>
            <w:tcBorders>
              <w:top w:val="single" w:sz="8" w:space="0" w:color="auto"/>
              <w:left w:val="single" w:sz="8" w:space="0" w:color="auto"/>
              <w:bottom w:val="single" w:sz="8" w:space="0" w:color="auto"/>
              <w:right w:val="single" w:sz="8" w:space="0" w:color="auto"/>
            </w:tcBorders>
            <w:shd w:val="clear" w:color="auto" w:fill="E8E8E8"/>
            <w:tcMar>
              <w:top w:w="15" w:type="dxa"/>
              <w:left w:w="15" w:type="dxa"/>
              <w:bottom w:w="15" w:type="dxa"/>
              <w:right w:w="15" w:type="dxa"/>
            </w:tcMar>
            <w:vAlign w:val="center"/>
            <w:hideMark/>
          </w:tcPr>
          <w:p w14:paraId="215F92CE" w14:textId="77777777" w:rsidR="0098361D" w:rsidRPr="00837743" w:rsidRDefault="0098361D" w:rsidP="00E50E87">
            <w:pPr>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8:45 - 11:05 (M)</w:t>
            </w:r>
          </w:p>
          <w:p w14:paraId="6A8FA719" w14:textId="77777777" w:rsidR="0098361D" w:rsidRPr="00837743" w:rsidRDefault="0098361D" w:rsidP="00E50E87">
            <w:pPr>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17:05 - 19:25 (J)</w:t>
            </w:r>
          </w:p>
          <w:p w14:paraId="240A681D" w14:textId="77777777" w:rsidR="0098361D" w:rsidRPr="00837743" w:rsidRDefault="0098361D" w:rsidP="00E50E87">
            <w:pPr>
              <w:spacing w:line="235" w:lineRule="atLeast"/>
              <w:jc w:val="center"/>
              <w:rPr>
                <w:rFonts w:ascii="Cambria" w:eastAsia="Times New Roman" w:hAnsi="Cambria" w:cs="Times New Roman"/>
                <w:color w:val="222222"/>
                <w:lang w:eastAsia="es-MX"/>
              </w:rPr>
            </w:pPr>
            <w:r w:rsidRPr="00837743">
              <w:rPr>
                <w:rFonts w:ascii="Arial" w:eastAsia="Times New Roman" w:hAnsi="Arial" w:cs="Arial"/>
                <w:color w:val="000000"/>
                <w:lang w:eastAsia="es-MX"/>
              </w:rPr>
              <w:t>21:45 - 00:05 (S)</w:t>
            </w:r>
          </w:p>
        </w:tc>
      </w:tr>
    </w:tbl>
    <w:p w14:paraId="1922789C" w14:textId="77777777" w:rsidR="0098361D" w:rsidRDefault="0098361D" w:rsidP="00C90637">
      <w:pPr>
        <w:jc w:val="both"/>
        <w:rPr>
          <w:rFonts w:ascii="Arial" w:hAnsi="Arial" w:cs="Arial"/>
          <w:bCs/>
          <w:color w:val="323E4F"/>
        </w:rPr>
      </w:pPr>
    </w:p>
    <w:p w14:paraId="67EAD4DD" w14:textId="1770F64C"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El secretario de Turismo de G</w:t>
      </w:r>
      <w:r>
        <w:rPr>
          <w:rFonts w:ascii="Arial" w:hAnsi="Arial" w:cs="Arial"/>
          <w:bCs/>
          <w:color w:val="323E4F"/>
          <w:sz w:val="28"/>
          <w:szCs w:val="28"/>
        </w:rPr>
        <w:t xml:space="preserve">uerrero, Simón Quiñones Orozco </w:t>
      </w:r>
      <w:r w:rsidRPr="0098361D">
        <w:rPr>
          <w:rFonts w:ascii="Arial" w:hAnsi="Arial" w:cs="Arial"/>
          <w:bCs/>
          <w:color w:val="323E4F"/>
          <w:sz w:val="28"/>
          <w:szCs w:val="28"/>
        </w:rPr>
        <w:t>destacó la importancia de esta reactivación aérea y el trabajo conjunto con Nuevo León.</w:t>
      </w:r>
    </w:p>
    <w:p w14:paraId="688859C0" w14:textId="77777777" w:rsidR="0098361D" w:rsidRPr="0098361D" w:rsidRDefault="0098361D" w:rsidP="0098361D">
      <w:pPr>
        <w:jc w:val="both"/>
        <w:rPr>
          <w:rFonts w:ascii="Arial" w:hAnsi="Arial" w:cs="Arial"/>
          <w:bCs/>
          <w:color w:val="323E4F"/>
          <w:sz w:val="28"/>
          <w:szCs w:val="28"/>
        </w:rPr>
      </w:pPr>
    </w:p>
    <w:p w14:paraId="36F51E84" w14:textId="5FA8E638"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“En nombre de la gobernadora Evelyn Salgado Pineda, expresamos nuestra gran satisfacción por el inicio de operacio</w:t>
      </w:r>
      <w:r>
        <w:rPr>
          <w:rFonts w:ascii="Arial" w:hAnsi="Arial" w:cs="Arial"/>
          <w:bCs/>
          <w:color w:val="323E4F"/>
          <w:sz w:val="28"/>
          <w:szCs w:val="28"/>
        </w:rPr>
        <w:t>nes del vuelo directo Monterrey-</w:t>
      </w:r>
      <w:r w:rsidRPr="0098361D">
        <w:rPr>
          <w:rFonts w:ascii="Arial" w:hAnsi="Arial" w:cs="Arial"/>
          <w:bCs/>
          <w:color w:val="323E4F"/>
          <w:sz w:val="28"/>
          <w:szCs w:val="28"/>
        </w:rPr>
        <w:t>Acapulco, fruto de una valiosa colaboración que fortalecerá los lazos entre ambos estados y potenciará el turismo en nuestra entidad. Este nuevo enlace acerca a nuestros destinos e invita a las y los regiomontanos a descubrir la riqueza cultural y natural de Guerrero, El Hogar del Sol, y a las y los guerrerenses a disfrutar las maravillas de Nuevo León. Reafirmamos el compromiso del Gobierno de Guerrero para seguir posicionando a nuestro estado como uno de los destinos más importantes de México. ¡Vámonos para Acapulco!”, señaló Quiñones Orozco.</w:t>
      </w:r>
    </w:p>
    <w:p w14:paraId="51E80E83" w14:textId="77777777" w:rsidR="0098361D" w:rsidRPr="0098361D" w:rsidRDefault="0098361D" w:rsidP="0098361D">
      <w:pPr>
        <w:jc w:val="both"/>
        <w:rPr>
          <w:rFonts w:ascii="Arial" w:hAnsi="Arial" w:cs="Arial"/>
          <w:bCs/>
          <w:color w:val="323E4F"/>
          <w:sz w:val="28"/>
          <w:szCs w:val="28"/>
        </w:rPr>
      </w:pPr>
    </w:p>
    <w:p w14:paraId="74A08DEF" w14:textId="77777777"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 xml:space="preserve">Estas rutas se suman a la red aérea del Aeropuerto Internacional de Monterrey, que actualmente opera 60 rutas activas (35 nacionales y 25 internacionales), con conectividad a 9 países y 11 de las 16 sedes </w:t>
      </w:r>
      <w:r w:rsidRPr="0098361D">
        <w:rPr>
          <w:rFonts w:ascii="Arial" w:hAnsi="Arial" w:cs="Arial"/>
          <w:bCs/>
          <w:color w:val="323E4F"/>
          <w:sz w:val="28"/>
          <w:szCs w:val="28"/>
        </w:rPr>
        <w:lastRenderedPageBreak/>
        <w:t>del Mundial 2026. Gracias al trabajo coordinado entre OMA, VIVA y la Secretaría de Turismo de Nuevo León, el aeropuerto se consolida como el segundo con más vuelos nacionales del país y un referente en conectividad aérea en el norte de México.</w:t>
      </w:r>
    </w:p>
    <w:p w14:paraId="4E81A9C8" w14:textId="77777777" w:rsidR="0098361D" w:rsidRPr="0098361D" w:rsidRDefault="0098361D" w:rsidP="0098361D">
      <w:pPr>
        <w:jc w:val="both"/>
        <w:rPr>
          <w:rFonts w:ascii="Arial" w:hAnsi="Arial" w:cs="Arial"/>
          <w:bCs/>
          <w:color w:val="323E4F"/>
          <w:sz w:val="28"/>
          <w:szCs w:val="28"/>
        </w:rPr>
      </w:pPr>
    </w:p>
    <w:p w14:paraId="0622F54C" w14:textId="2F03C07A"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 xml:space="preserve">“La reactivación de estas tres rutas nacionales resalta la consolidación y la fortaleza del </w:t>
      </w:r>
      <w:proofErr w:type="spellStart"/>
      <w:r w:rsidRPr="0098361D">
        <w:rPr>
          <w:rFonts w:ascii="Arial" w:hAnsi="Arial" w:cs="Arial"/>
          <w:bCs/>
          <w:color w:val="323E4F"/>
          <w:sz w:val="28"/>
          <w:szCs w:val="28"/>
        </w:rPr>
        <w:t>hub</w:t>
      </w:r>
      <w:proofErr w:type="spellEnd"/>
      <w:r w:rsidRPr="0098361D">
        <w:rPr>
          <w:rFonts w:ascii="Arial" w:hAnsi="Arial" w:cs="Arial"/>
          <w:bCs/>
          <w:color w:val="323E4F"/>
          <w:sz w:val="28"/>
          <w:szCs w:val="28"/>
        </w:rPr>
        <w:t xml:space="preserve"> de Monterrey, el cual se ha situado como el centro de conexiones </w:t>
      </w:r>
      <w:r w:rsidRPr="0098361D">
        <w:rPr>
          <w:rFonts w:ascii="Arial" w:hAnsi="Arial" w:cs="Arial"/>
          <w:bCs/>
          <w:color w:val="323E4F"/>
          <w:sz w:val="28"/>
          <w:szCs w:val="28"/>
        </w:rPr>
        <w:t>más i</w:t>
      </w:r>
      <w:r w:rsidRPr="0098361D">
        <w:rPr>
          <w:rFonts w:ascii="Arial" w:hAnsi="Arial" w:cs="Arial"/>
          <w:bCs/>
          <w:color w:val="323E4F"/>
          <w:sz w:val="28"/>
          <w:szCs w:val="28"/>
        </w:rPr>
        <w:t>mportante del norte del país, aprovechando su posición geográfica privilegiada para facilitar el tránsito de pasajeros entre los más de 60 destinos nacionales e internacionales servidos desde esta terminal aérea”, compartió Ricardo D</w:t>
      </w:r>
      <w:r>
        <w:rPr>
          <w:rFonts w:ascii="Arial" w:hAnsi="Arial" w:cs="Arial"/>
          <w:bCs/>
          <w:color w:val="323E4F"/>
          <w:sz w:val="28"/>
          <w:szCs w:val="28"/>
        </w:rPr>
        <w:t>ueñas, Director General de OMA.</w:t>
      </w:r>
      <w:bookmarkStart w:id="0" w:name="_GoBack"/>
      <w:bookmarkEnd w:id="0"/>
    </w:p>
    <w:p w14:paraId="06292B32" w14:textId="77777777" w:rsidR="0098361D" w:rsidRPr="0098361D" w:rsidRDefault="0098361D" w:rsidP="0098361D">
      <w:pPr>
        <w:jc w:val="both"/>
        <w:rPr>
          <w:rFonts w:ascii="Arial" w:hAnsi="Arial" w:cs="Arial"/>
          <w:bCs/>
          <w:color w:val="323E4F"/>
          <w:sz w:val="28"/>
          <w:szCs w:val="28"/>
        </w:rPr>
      </w:pPr>
    </w:p>
    <w:p w14:paraId="746AD4AF" w14:textId="77777777"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“Monterrey, al ser la casa de Viva, es una ciudad muy importante para nosotros. Estos nuevos vuelos hacia Acapulco, Durango y Tapachula representan nuestro compromiso con seguir reforzando su conectividad aérea para ofrecerle a los regios más opciones que nunca. Nuestro regreso a estas tres comunidades trae consigo nuevas oportunidades para impulsar su desarrollo turístico y económico, y por supuesto una cómoda conexión con la red de más de 45 rutas que ofrecemos desde Monterrey para viajar, vacacionar y reconectar con sus seres queridos”, agregó Jesús Horacio González, Vicepresidente de Asuntos Corporativos de Viva.</w:t>
      </w:r>
    </w:p>
    <w:p w14:paraId="7890B66C" w14:textId="77777777" w:rsidR="0098361D" w:rsidRPr="0098361D" w:rsidRDefault="0098361D" w:rsidP="0098361D">
      <w:pPr>
        <w:jc w:val="both"/>
        <w:rPr>
          <w:rFonts w:ascii="Arial" w:hAnsi="Arial" w:cs="Arial"/>
          <w:bCs/>
          <w:color w:val="323E4F"/>
          <w:sz w:val="28"/>
          <w:szCs w:val="28"/>
        </w:rPr>
      </w:pPr>
    </w:p>
    <w:p w14:paraId="416E2E44" w14:textId="77777777"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La Secretaría de Turismo de Nuevo León impulsa una estrategia integral para expandir la conectividad nacional, diversificar destinos y fortalecer la competitividad del sector turístico y empresarial del estado.</w:t>
      </w:r>
    </w:p>
    <w:p w14:paraId="62B3506F" w14:textId="77777777" w:rsidR="0098361D" w:rsidRPr="0098361D" w:rsidRDefault="0098361D" w:rsidP="0098361D">
      <w:pPr>
        <w:jc w:val="both"/>
        <w:rPr>
          <w:rFonts w:ascii="Arial" w:hAnsi="Arial" w:cs="Arial"/>
          <w:bCs/>
          <w:color w:val="323E4F"/>
          <w:sz w:val="28"/>
          <w:szCs w:val="28"/>
        </w:rPr>
      </w:pPr>
    </w:p>
    <w:p w14:paraId="0DF6E65D" w14:textId="3AF1C7BC" w:rsidR="0098361D" w:rsidRPr="0098361D" w:rsidRDefault="0098361D" w:rsidP="0098361D">
      <w:pPr>
        <w:jc w:val="both"/>
        <w:rPr>
          <w:rFonts w:ascii="Arial" w:hAnsi="Arial" w:cs="Arial"/>
          <w:bCs/>
          <w:color w:val="323E4F"/>
          <w:sz w:val="28"/>
          <w:szCs w:val="28"/>
        </w:rPr>
      </w:pPr>
      <w:r w:rsidRPr="0098361D">
        <w:rPr>
          <w:rFonts w:ascii="Arial" w:hAnsi="Arial" w:cs="Arial"/>
          <w:bCs/>
          <w:color w:val="323E4F"/>
          <w:sz w:val="28"/>
          <w:szCs w:val="28"/>
        </w:rPr>
        <w:t>Con estas reactivaciones, Nuevo León fortalece su liderazgo en movilidad aérea y avanza en la consolidación de su estrategia “Ponte Nuevo, Ponte Mundial”, en sintonía con la campaña estatal “El Mundial más norteño está en Nuevo León”, que promueve el orgullo, la hospitalidad y la identidad regia rumbo al Mundial 2026.</w:t>
      </w:r>
    </w:p>
    <w:sectPr w:rsidR="0098361D" w:rsidRPr="0098361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E552" w14:textId="77777777" w:rsidR="0091513D" w:rsidRDefault="0091513D" w:rsidP="00E83348">
      <w:r>
        <w:separator/>
      </w:r>
    </w:p>
  </w:endnote>
  <w:endnote w:type="continuationSeparator" w:id="0">
    <w:p w14:paraId="35878EFE" w14:textId="77777777" w:rsidR="0091513D" w:rsidRDefault="009151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97D2" w14:textId="77777777" w:rsidR="0091513D" w:rsidRDefault="0091513D" w:rsidP="00E83348">
      <w:r>
        <w:separator/>
      </w:r>
    </w:p>
  </w:footnote>
  <w:footnote w:type="continuationSeparator" w:id="0">
    <w:p w14:paraId="4F8173CB" w14:textId="77777777" w:rsidR="0091513D" w:rsidRDefault="009151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1513D"/>
    <w:rsid w:val="00942455"/>
    <w:rsid w:val="00956686"/>
    <w:rsid w:val="00956CE4"/>
    <w:rsid w:val="0096389E"/>
    <w:rsid w:val="009652C7"/>
    <w:rsid w:val="00971AEA"/>
    <w:rsid w:val="00975DDD"/>
    <w:rsid w:val="00975E43"/>
    <w:rsid w:val="0098054B"/>
    <w:rsid w:val="0098361D"/>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C139-3D33-4AE9-931A-2F038707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2025-11-05T19:43:00Z</dcterms:created>
  <dcterms:modified xsi:type="dcterms:W3CDTF">2025-11-05T19:43:00Z</dcterms:modified>
</cp:coreProperties>
</file>