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E8A6BE4" w:rsidR="009C0D7E" w:rsidRPr="004667B8" w:rsidRDefault="00BF2D2F" w:rsidP="009C0D7E">
      <w:pPr>
        <w:jc w:val="right"/>
        <w:rPr>
          <w:rFonts w:ascii="Arial" w:hAnsi="Arial" w:cs="Arial"/>
          <w:b/>
          <w:sz w:val="22"/>
          <w:lang w:val="es-ES"/>
        </w:rPr>
      </w:pPr>
      <w:bookmarkStart w:id="0" w:name="_GoBack"/>
      <w:bookmarkEnd w:id="0"/>
      <w:r>
        <w:rPr>
          <w:rFonts w:ascii="Arial" w:hAnsi="Arial" w:cs="Arial"/>
          <w:b/>
          <w:sz w:val="22"/>
          <w:lang w:val="es-ES"/>
        </w:rPr>
        <w:t>CP/1274</w:t>
      </w:r>
      <w:r w:rsidR="007D065D">
        <w:rPr>
          <w:rFonts w:ascii="Arial" w:hAnsi="Arial" w:cs="Arial"/>
          <w:b/>
          <w:sz w:val="22"/>
          <w:lang w:val="es-ES"/>
        </w:rPr>
        <w:t>/2026</w:t>
      </w:r>
    </w:p>
    <w:p w14:paraId="3F7360A1" w14:textId="17FB57BA" w:rsidR="009C0D7E" w:rsidRDefault="00BF2D2F" w:rsidP="00E7224C">
      <w:pPr>
        <w:jc w:val="right"/>
        <w:rPr>
          <w:rFonts w:ascii="Arial" w:hAnsi="Arial" w:cs="Arial"/>
          <w:sz w:val="22"/>
          <w:lang w:val="es-ES"/>
        </w:rPr>
      </w:pPr>
      <w:r>
        <w:rPr>
          <w:rFonts w:ascii="Arial" w:hAnsi="Arial" w:cs="Arial"/>
          <w:sz w:val="22"/>
          <w:lang w:val="es-ES"/>
        </w:rPr>
        <w:t>9</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2269B952" w:rsidR="000D39CB" w:rsidRDefault="00BF2D2F" w:rsidP="007F5780">
      <w:pPr>
        <w:jc w:val="center"/>
        <w:rPr>
          <w:rFonts w:ascii="Arial" w:hAnsi="Arial" w:cs="Arial"/>
          <w:b/>
          <w:sz w:val="28"/>
          <w:szCs w:val="28"/>
        </w:rPr>
      </w:pPr>
      <w:r w:rsidRPr="00BF2D2F">
        <w:rPr>
          <w:rFonts w:ascii="Arial" w:hAnsi="Arial" w:cs="Arial"/>
          <w:b/>
          <w:sz w:val="28"/>
          <w:szCs w:val="28"/>
        </w:rPr>
        <w:t>PANORAMA FAVORABLE PARA NUEVO LEÓN EN EL PAQUETE FISCAL FEDERAL 2027</w:t>
      </w:r>
    </w:p>
    <w:p w14:paraId="0EFC4F8E" w14:textId="77777777" w:rsidR="00BF2D2F" w:rsidRDefault="00BF2D2F" w:rsidP="000D39CB">
      <w:pPr>
        <w:jc w:val="both"/>
        <w:rPr>
          <w:rFonts w:ascii="Arial" w:eastAsia="Times New Roman" w:hAnsi="Arial" w:cs="Arial"/>
          <w:i/>
        </w:rPr>
      </w:pPr>
    </w:p>
    <w:p w14:paraId="4BCC94D1" w14:textId="65A53C04" w:rsidR="0092409C" w:rsidRPr="00BF2D2F" w:rsidRDefault="00BF2D2F" w:rsidP="00BF2D2F">
      <w:pPr>
        <w:pStyle w:val="Prrafodelista"/>
        <w:numPr>
          <w:ilvl w:val="0"/>
          <w:numId w:val="20"/>
        </w:numPr>
        <w:jc w:val="both"/>
        <w:rPr>
          <w:rFonts w:ascii="Arial" w:hAnsi="Arial" w:cs="Arial"/>
          <w:b/>
          <w:sz w:val="28"/>
          <w:szCs w:val="28"/>
        </w:rPr>
      </w:pPr>
      <w:r w:rsidRPr="00BF2D2F">
        <w:rPr>
          <w:rFonts w:ascii="Arial" w:hAnsi="Arial" w:cs="Arial"/>
          <w:i/>
        </w:rPr>
        <w:t>La propuesta de la Secretaría de Hacienda fortalece las participaciones del Estado e impulsa proyectos en salud, energía y mantenimiento en la Refinería.</w:t>
      </w:r>
    </w:p>
    <w:p w14:paraId="67188C26" w14:textId="77777777" w:rsidR="00BF2D2F" w:rsidRDefault="00BF2D2F" w:rsidP="000D39CB">
      <w:pPr>
        <w:jc w:val="both"/>
        <w:rPr>
          <w:rFonts w:ascii="Arial" w:hAnsi="Arial" w:cs="Arial"/>
          <w:b/>
          <w:sz w:val="28"/>
          <w:szCs w:val="28"/>
        </w:rPr>
      </w:pPr>
    </w:p>
    <w:p w14:paraId="41C04692" w14:textId="77777777" w:rsidR="00BF2D2F" w:rsidRDefault="0092409C" w:rsidP="00BF2D2F">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BF2D2F" w:rsidRPr="00BF2D2F">
        <w:rPr>
          <w:rFonts w:ascii="Arial" w:hAnsi="Arial" w:cs="Arial"/>
          <w:sz w:val="28"/>
          <w:szCs w:val="28"/>
        </w:rPr>
        <w:t>Dentro de una revisión preliminar al proyecto de Paquete Fiscal Federal 2027, Nuevo León se posiciona como el estado con mayor crecimiento porcentual en el gasto programable federal, al registrar un incremento del 23.1 por ciento con respecto al presente año.</w:t>
      </w:r>
    </w:p>
    <w:p w14:paraId="4F430BBF" w14:textId="77777777" w:rsidR="00BF2D2F" w:rsidRPr="00BF2D2F" w:rsidRDefault="00BF2D2F" w:rsidP="00BF2D2F">
      <w:pPr>
        <w:jc w:val="both"/>
        <w:rPr>
          <w:rFonts w:ascii="Arial" w:hAnsi="Arial" w:cs="Arial"/>
          <w:sz w:val="28"/>
          <w:szCs w:val="28"/>
        </w:rPr>
      </w:pPr>
    </w:p>
    <w:p w14:paraId="086014F3" w14:textId="77777777" w:rsidR="00BF2D2F" w:rsidRDefault="00BF2D2F" w:rsidP="00BF2D2F">
      <w:pPr>
        <w:jc w:val="both"/>
        <w:rPr>
          <w:rFonts w:ascii="Arial" w:hAnsi="Arial" w:cs="Arial"/>
          <w:sz w:val="28"/>
          <w:szCs w:val="28"/>
        </w:rPr>
      </w:pPr>
      <w:r w:rsidRPr="00BF2D2F">
        <w:rPr>
          <w:rFonts w:ascii="Arial" w:hAnsi="Arial" w:cs="Arial"/>
          <w:sz w:val="28"/>
          <w:szCs w:val="28"/>
        </w:rPr>
        <w:t>La Federación proyecta para el Estado 293 mil 518 millones de pesos, contra los 238 mil 501 millones de pesos aprobados para este año, una bolsa adicional de 55 mil millones de pesos de gasto programable.</w:t>
      </w:r>
    </w:p>
    <w:p w14:paraId="5A2687A9" w14:textId="77777777" w:rsidR="00BF2D2F" w:rsidRPr="00BF2D2F" w:rsidRDefault="00BF2D2F" w:rsidP="00BF2D2F">
      <w:pPr>
        <w:jc w:val="both"/>
        <w:rPr>
          <w:rFonts w:ascii="Arial" w:hAnsi="Arial" w:cs="Arial"/>
          <w:sz w:val="28"/>
          <w:szCs w:val="28"/>
        </w:rPr>
      </w:pPr>
    </w:p>
    <w:p w14:paraId="691073CF" w14:textId="77777777" w:rsidR="00BF2D2F" w:rsidRDefault="00BF2D2F" w:rsidP="00BF2D2F">
      <w:pPr>
        <w:jc w:val="both"/>
        <w:rPr>
          <w:rFonts w:ascii="Arial" w:hAnsi="Arial" w:cs="Arial"/>
          <w:sz w:val="28"/>
          <w:szCs w:val="28"/>
        </w:rPr>
      </w:pPr>
      <w:r w:rsidRPr="00BF2D2F">
        <w:rPr>
          <w:rFonts w:ascii="Arial" w:hAnsi="Arial" w:cs="Arial"/>
          <w:sz w:val="28"/>
          <w:szCs w:val="28"/>
        </w:rPr>
        <w:t>En el documento, entregado ayer a la Cámara de Diputados por la Secretaría de Hacienda, la Federación estima asignar a Nuevo León un 8.1 por ciento más en los Ramos 28 y 33, donde ambos sumarían 121 mil 609 millones de pesos.</w:t>
      </w:r>
    </w:p>
    <w:p w14:paraId="132F401B" w14:textId="77777777" w:rsidR="00BF2D2F" w:rsidRPr="00BF2D2F" w:rsidRDefault="00BF2D2F" w:rsidP="00BF2D2F">
      <w:pPr>
        <w:jc w:val="both"/>
        <w:rPr>
          <w:rFonts w:ascii="Arial" w:hAnsi="Arial" w:cs="Arial"/>
          <w:sz w:val="28"/>
          <w:szCs w:val="28"/>
        </w:rPr>
      </w:pPr>
    </w:p>
    <w:p w14:paraId="3737BB9E" w14:textId="77777777" w:rsidR="00BF2D2F" w:rsidRDefault="00BF2D2F" w:rsidP="00BF2D2F">
      <w:pPr>
        <w:jc w:val="both"/>
        <w:rPr>
          <w:rFonts w:ascii="Arial" w:hAnsi="Arial" w:cs="Arial"/>
          <w:sz w:val="28"/>
          <w:szCs w:val="28"/>
        </w:rPr>
      </w:pPr>
      <w:r w:rsidRPr="00BF2D2F">
        <w:rPr>
          <w:rFonts w:ascii="Arial" w:hAnsi="Arial" w:cs="Arial"/>
          <w:sz w:val="28"/>
          <w:szCs w:val="28"/>
        </w:rPr>
        <w:t xml:space="preserve">La propuesta federal contempla una asignación de 82 mil 556 millones de pesos para el Ramo 28, un 7.9 por ciento más en comparación con este año. Mientras que del Ramo 33, la estimación es de 39 mil 053 millones de pesos, un alza del 8.5 por ciento. </w:t>
      </w:r>
    </w:p>
    <w:p w14:paraId="16BAF9E4" w14:textId="77777777" w:rsidR="00BF2D2F" w:rsidRPr="00BF2D2F" w:rsidRDefault="00BF2D2F" w:rsidP="00BF2D2F">
      <w:pPr>
        <w:jc w:val="both"/>
        <w:rPr>
          <w:rFonts w:ascii="Arial" w:hAnsi="Arial" w:cs="Arial"/>
          <w:sz w:val="28"/>
          <w:szCs w:val="28"/>
        </w:rPr>
      </w:pPr>
    </w:p>
    <w:p w14:paraId="70257A0E" w14:textId="77777777" w:rsidR="00BF2D2F" w:rsidRDefault="00BF2D2F" w:rsidP="00BF2D2F">
      <w:pPr>
        <w:jc w:val="both"/>
        <w:rPr>
          <w:rFonts w:ascii="Arial" w:hAnsi="Arial" w:cs="Arial"/>
          <w:sz w:val="28"/>
          <w:szCs w:val="28"/>
        </w:rPr>
      </w:pPr>
      <w:r w:rsidRPr="00BF2D2F">
        <w:rPr>
          <w:rFonts w:ascii="Arial" w:hAnsi="Arial" w:cs="Arial"/>
          <w:sz w:val="28"/>
          <w:szCs w:val="28"/>
        </w:rPr>
        <w:t xml:space="preserve">En el Paquete Fiscal 2027 a Nuevo León se la asignaron 48 mil millones de pesos en programas y proyectos de inversión. </w:t>
      </w:r>
    </w:p>
    <w:p w14:paraId="1E116E81" w14:textId="77777777" w:rsidR="00BF2D2F" w:rsidRPr="00BF2D2F" w:rsidRDefault="00BF2D2F" w:rsidP="00BF2D2F">
      <w:pPr>
        <w:jc w:val="both"/>
        <w:rPr>
          <w:rFonts w:ascii="Arial" w:hAnsi="Arial" w:cs="Arial"/>
          <w:sz w:val="28"/>
          <w:szCs w:val="28"/>
        </w:rPr>
      </w:pPr>
    </w:p>
    <w:p w14:paraId="68C86D3C" w14:textId="77777777" w:rsidR="00BF2D2F" w:rsidRPr="00BF2D2F" w:rsidRDefault="00BF2D2F" w:rsidP="00BF2D2F">
      <w:pPr>
        <w:jc w:val="both"/>
        <w:rPr>
          <w:rFonts w:ascii="Arial" w:hAnsi="Arial" w:cs="Arial"/>
          <w:sz w:val="28"/>
          <w:szCs w:val="28"/>
        </w:rPr>
      </w:pPr>
      <w:r w:rsidRPr="00BF2D2F">
        <w:rPr>
          <w:rFonts w:ascii="Arial" w:hAnsi="Arial" w:cs="Arial"/>
          <w:sz w:val="28"/>
          <w:szCs w:val="28"/>
        </w:rPr>
        <w:lastRenderedPageBreak/>
        <w:t>Al proyecto ferroviario Tren del Norte, que incluye al estado se le asigna un monto de 41 mil 985 millones de pesos.</w:t>
      </w:r>
    </w:p>
    <w:p w14:paraId="1DC91A11" w14:textId="77777777" w:rsidR="00BF2D2F" w:rsidRDefault="00BF2D2F" w:rsidP="00BF2D2F">
      <w:pPr>
        <w:jc w:val="both"/>
        <w:rPr>
          <w:rFonts w:ascii="Arial" w:hAnsi="Arial" w:cs="Arial"/>
          <w:sz w:val="28"/>
          <w:szCs w:val="28"/>
        </w:rPr>
      </w:pPr>
    </w:p>
    <w:p w14:paraId="6C138444" w14:textId="77777777" w:rsidR="00BF2D2F" w:rsidRDefault="00BF2D2F" w:rsidP="00BF2D2F">
      <w:pPr>
        <w:jc w:val="both"/>
        <w:rPr>
          <w:rFonts w:ascii="Arial" w:hAnsi="Arial" w:cs="Arial"/>
          <w:sz w:val="28"/>
          <w:szCs w:val="28"/>
        </w:rPr>
      </w:pPr>
      <w:r w:rsidRPr="00BF2D2F">
        <w:rPr>
          <w:rFonts w:ascii="Arial" w:hAnsi="Arial" w:cs="Arial"/>
          <w:sz w:val="28"/>
          <w:szCs w:val="28"/>
        </w:rPr>
        <w:t>Destacan inversiones para Pemex por 4 mil 443 millones de pesos, destinados a distintos proyectos como el mantenimiento a la Refinería de Cadereyta.</w:t>
      </w:r>
    </w:p>
    <w:p w14:paraId="46F9B16D" w14:textId="77777777" w:rsidR="00BF2D2F" w:rsidRPr="00BF2D2F" w:rsidRDefault="00BF2D2F" w:rsidP="00BF2D2F">
      <w:pPr>
        <w:jc w:val="both"/>
        <w:rPr>
          <w:rFonts w:ascii="Arial" w:hAnsi="Arial" w:cs="Arial"/>
          <w:sz w:val="28"/>
          <w:szCs w:val="28"/>
        </w:rPr>
      </w:pPr>
    </w:p>
    <w:p w14:paraId="43C60D01" w14:textId="77777777" w:rsidR="00BF2D2F" w:rsidRDefault="00BF2D2F" w:rsidP="00BF2D2F">
      <w:pPr>
        <w:jc w:val="both"/>
        <w:rPr>
          <w:rFonts w:ascii="Arial" w:hAnsi="Arial" w:cs="Arial"/>
          <w:sz w:val="28"/>
          <w:szCs w:val="28"/>
        </w:rPr>
      </w:pPr>
      <w:r w:rsidRPr="00BF2D2F">
        <w:rPr>
          <w:rFonts w:ascii="Arial" w:hAnsi="Arial" w:cs="Arial"/>
          <w:sz w:val="28"/>
          <w:szCs w:val="28"/>
        </w:rPr>
        <w:t xml:space="preserve">Para Nuevo León, la CFE estima invertir poco más de 1 mil millones de pesos en mantenimiento en las centrales de </w:t>
      </w:r>
      <w:proofErr w:type="spellStart"/>
      <w:r w:rsidRPr="00BF2D2F">
        <w:rPr>
          <w:rFonts w:ascii="Arial" w:hAnsi="Arial" w:cs="Arial"/>
          <w:sz w:val="28"/>
          <w:szCs w:val="28"/>
        </w:rPr>
        <w:t>Huinalá</w:t>
      </w:r>
      <w:proofErr w:type="spellEnd"/>
      <w:r w:rsidRPr="00BF2D2F">
        <w:rPr>
          <w:rFonts w:ascii="Arial" w:hAnsi="Arial" w:cs="Arial"/>
          <w:sz w:val="28"/>
          <w:szCs w:val="28"/>
        </w:rPr>
        <w:t>, La Leona y Universidad.</w:t>
      </w:r>
    </w:p>
    <w:p w14:paraId="741885BA" w14:textId="77777777" w:rsidR="00BF2D2F" w:rsidRPr="00BF2D2F" w:rsidRDefault="00BF2D2F" w:rsidP="00BF2D2F">
      <w:pPr>
        <w:jc w:val="both"/>
        <w:rPr>
          <w:rFonts w:ascii="Arial" w:hAnsi="Arial" w:cs="Arial"/>
          <w:sz w:val="28"/>
          <w:szCs w:val="28"/>
        </w:rPr>
      </w:pPr>
    </w:p>
    <w:p w14:paraId="1FEDB336" w14:textId="77777777" w:rsidR="00BF2D2F" w:rsidRDefault="00BF2D2F" w:rsidP="00BF2D2F">
      <w:pPr>
        <w:jc w:val="both"/>
        <w:rPr>
          <w:rFonts w:ascii="Arial" w:hAnsi="Arial" w:cs="Arial"/>
          <w:sz w:val="28"/>
          <w:szCs w:val="28"/>
        </w:rPr>
      </w:pPr>
      <w:r w:rsidRPr="00BF2D2F">
        <w:rPr>
          <w:rFonts w:ascii="Arial" w:hAnsi="Arial" w:cs="Arial"/>
          <w:sz w:val="28"/>
          <w:szCs w:val="28"/>
        </w:rPr>
        <w:t>En Salud, el IMSS destinaría 614 millones de pesos, para el Hospital de Santa Catarina y la remodelación de la Clínica 15.</w:t>
      </w:r>
    </w:p>
    <w:p w14:paraId="6BCF1652" w14:textId="77777777" w:rsidR="00BF2D2F" w:rsidRPr="00BF2D2F" w:rsidRDefault="00BF2D2F" w:rsidP="00BF2D2F">
      <w:pPr>
        <w:jc w:val="both"/>
        <w:rPr>
          <w:rFonts w:ascii="Arial" w:hAnsi="Arial" w:cs="Arial"/>
          <w:sz w:val="28"/>
          <w:szCs w:val="28"/>
        </w:rPr>
      </w:pPr>
    </w:p>
    <w:p w14:paraId="7D00DBE8" w14:textId="77777777" w:rsidR="00BF2D2F" w:rsidRPr="00BF2D2F" w:rsidRDefault="00BF2D2F" w:rsidP="00BF2D2F">
      <w:pPr>
        <w:jc w:val="both"/>
        <w:rPr>
          <w:rFonts w:ascii="Arial" w:hAnsi="Arial" w:cs="Arial"/>
          <w:sz w:val="28"/>
          <w:szCs w:val="28"/>
        </w:rPr>
      </w:pPr>
      <w:r w:rsidRPr="00BF2D2F">
        <w:rPr>
          <w:rFonts w:ascii="Arial" w:hAnsi="Arial" w:cs="Arial"/>
          <w:sz w:val="28"/>
          <w:szCs w:val="28"/>
        </w:rPr>
        <w:t>El Gobierno del Estado continúa con el análisis del proyecto federal y trabajará  con los legisladores federales para respaldar la propuesta e incluso buscar un mayor presupuesto en beneficio de los nuevoleoneses.</w:t>
      </w:r>
    </w:p>
    <w:p w14:paraId="25014373" w14:textId="77777777" w:rsidR="00BF2D2F" w:rsidRPr="00BF2D2F" w:rsidRDefault="00BF2D2F" w:rsidP="00BF2D2F">
      <w:pPr>
        <w:jc w:val="both"/>
        <w:rPr>
          <w:rFonts w:ascii="Arial" w:hAnsi="Arial" w:cs="Arial"/>
          <w:sz w:val="28"/>
          <w:szCs w:val="28"/>
        </w:rPr>
      </w:pPr>
    </w:p>
    <w:tbl>
      <w:tblPr>
        <w:tblW w:w="8480" w:type="dxa"/>
        <w:tblCellMar>
          <w:left w:w="70" w:type="dxa"/>
          <w:right w:w="70" w:type="dxa"/>
        </w:tblCellMar>
        <w:tblLook w:val="04A0" w:firstRow="1" w:lastRow="0" w:firstColumn="1" w:lastColumn="0" w:noHBand="0" w:noVBand="1"/>
      </w:tblPr>
      <w:tblGrid>
        <w:gridCol w:w="2620"/>
        <w:gridCol w:w="1540"/>
        <w:gridCol w:w="1540"/>
        <w:gridCol w:w="1540"/>
        <w:gridCol w:w="1240"/>
      </w:tblGrid>
      <w:tr w:rsidR="00BF2D2F" w:rsidRPr="00836C1C" w14:paraId="1E732C6C" w14:textId="77777777" w:rsidTr="00D028F7">
        <w:trPr>
          <w:trHeight w:val="885"/>
        </w:trPr>
        <w:tc>
          <w:tcPr>
            <w:tcW w:w="8480" w:type="dxa"/>
            <w:gridSpan w:val="5"/>
            <w:tcBorders>
              <w:top w:val="nil"/>
              <w:left w:val="nil"/>
              <w:bottom w:val="nil"/>
              <w:right w:val="nil"/>
            </w:tcBorders>
            <w:shd w:val="clear" w:color="000000" w:fill="FFC000"/>
            <w:vAlign w:val="center"/>
            <w:hideMark/>
          </w:tcPr>
          <w:p w14:paraId="2023F4CD" w14:textId="77777777" w:rsidR="00BF2D2F" w:rsidRPr="00836C1C" w:rsidRDefault="00BF2D2F" w:rsidP="00D028F7">
            <w:pPr>
              <w:jc w:val="center"/>
              <w:rPr>
                <w:rFonts w:ascii="Calibri" w:eastAsia="Times New Roman" w:hAnsi="Calibri" w:cs="Calibri"/>
                <w:b/>
                <w:bCs/>
                <w:color w:val="FFFFFF"/>
                <w:sz w:val="28"/>
                <w:szCs w:val="28"/>
                <w:lang w:eastAsia="es-MX"/>
              </w:rPr>
            </w:pPr>
            <w:bookmarkStart w:id="1" w:name="RANGE!A1:P7"/>
            <w:r w:rsidRPr="00836C1C">
              <w:rPr>
                <w:rFonts w:ascii="Calibri" w:eastAsia="Times New Roman" w:hAnsi="Calibri" w:cs="Calibri"/>
                <w:b/>
                <w:bCs/>
                <w:color w:val="FFFFFF"/>
                <w:sz w:val="28"/>
                <w:szCs w:val="28"/>
                <w:lang w:eastAsia="es-MX"/>
              </w:rPr>
              <w:t>RAMO 28 Y 33</w:t>
            </w:r>
            <w:bookmarkEnd w:id="1"/>
          </w:p>
        </w:tc>
      </w:tr>
      <w:tr w:rsidR="00BF2D2F" w:rsidRPr="00836C1C" w14:paraId="421141AC" w14:textId="77777777" w:rsidTr="00D028F7">
        <w:trPr>
          <w:trHeight w:val="315"/>
        </w:trPr>
        <w:tc>
          <w:tcPr>
            <w:tcW w:w="2620" w:type="dxa"/>
            <w:tcBorders>
              <w:top w:val="nil"/>
              <w:left w:val="nil"/>
              <w:bottom w:val="nil"/>
              <w:right w:val="nil"/>
            </w:tcBorders>
            <w:shd w:val="clear" w:color="auto" w:fill="auto"/>
            <w:vAlign w:val="center"/>
            <w:hideMark/>
          </w:tcPr>
          <w:p w14:paraId="437BFDCE" w14:textId="77777777" w:rsidR="00BF2D2F" w:rsidRPr="00836C1C" w:rsidRDefault="00BF2D2F" w:rsidP="00D028F7">
            <w:pPr>
              <w:jc w:val="center"/>
              <w:rPr>
                <w:rFonts w:ascii="Calibri" w:eastAsia="Times New Roman" w:hAnsi="Calibri" w:cs="Calibri"/>
                <w:b/>
                <w:bCs/>
                <w:color w:val="FFFFFF"/>
                <w:sz w:val="28"/>
                <w:szCs w:val="28"/>
                <w:lang w:eastAsia="es-MX"/>
              </w:rPr>
            </w:pPr>
          </w:p>
        </w:tc>
        <w:tc>
          <w:tcPr>
            <w:tcW w:w="1540" w:type="dxa"/>
            <w:tcBorders>
              <w:top w:val="nil"/>
              <w:left w:val="nil"/>
              <w:bottom w:val="nil"/>
              <w:right w:val="nil"/>
            </w:tcBorders>
            <w:shd w:val="clear" w:color="auto" w:fill="auto"/>
            <w:vAlign w:val="center"/>
            <w:hideMark/>
          </w:tcPr>
          <w:p w14:paraId="06C4A81F" w14:textId="77777777" w:rsidR="00BF2D2F" w:rsidRPr="00836C1C" w:rsidRDefault="00BF2D2F" w:rsidP="00D028F7">
            <w:pPr>
              <w:jc w:val="center"/>
              <w:rPr>
                <w:rFonts w:ascii="Times New Roman" w:eastAsia="Times New Roman" w:hAnsi="Times New Roman" w:cs="Times New Roman"/>
                <w:sz w:val="20"/>
                <w:szCs w:val="20"/>
                <w:lang w:eastAsia="es-MX"/>
              </w:rPr>
            </w:pPr>
          </w:p>
        </w:tc>
        <w:tc>
          <w:tcPr>
            <w:tcW w:w="1540" w:type="dxa"/>
            <w:tcBorders>
              <w:top w:val="nil"/>
              <w:left w:val="nil"/>
              <w:bottom w:val="nil"/>
              <w:right w:val="nil"/>
            </w:tcBorders>
            <w:shd w:val="clear" w:color="auto" w:fill="auto"/>
            <w:vAlign w:val="center"/>
            <w:hideMark/>
          </w:tcPr>
          <w:p w14:paraId="41727066" w14:textId="77777777" w:rsidR="00BF2D2F" w:rsidRPr="00836C1C" w:rsidRDefault="00BF2D2F" w:rsidP="00D028F7">
            <w:pPr>
              <w:jc w:val="center"/>
              <w:rPr>
                <w:rFonts w:ascii="Times New Roman" w:eastAsia="Times New Roman" w:hAnsi="Times New Roman" w:cs="Times New Roman"/>
                <w:sz w:val="20"/>
                <w:szCs w:val="20"/>
                <w:lang w:eastAsia="es-MX"/>
              </w:rPr>
            </w:pPr>
          </w:p>
        </w:tc>
        <w:tc>
          <w:tcPr>
            <w:tcW w:w="1540" w:type="dxa"/>
            <w:tcBorders>
              <w:top w:val="nil"/>
              <w:left w:val="nil"/>
              <w:bottom w:val="nil"/>
              <w:right w:val="nil"/>
            </w:tcBorders>
            <w:shd w:val="clear" w:color="auto" w:fill="auto"/>
            <w:vAlign w:val="center"/>
            <w:hideMark/>
          </w:tcPr>
          <w:p w14:paraId="5E4EC94D" w14:textId="77777777" w:rsidR="00BF2D2F" w:rsidRPr="00836C1C" w:rsidRDefault="00BF2D2F" w:rsidP="00D028F7">
            <w:pPr>
              <w:jc w:val="center"/>
              <w:rPr>
                <w:rFonts w:ascii="Times New Roman" w:eastAsia="Times New Roman" w:hAnsi="Times New Roman" w:cs="Times New Roman"/>
                <w:sz w:val="20"/>
                <w:szCs w:val="20"/>
                <w:lang w:eastAsia="es-MX"/>
              </w:rPr>
            </w:pPr>
          </w:p>
        </w:tc>
        <w:tc>
          <w:tcPr>
            <w:tcW w:w="1240" w:type="dxa"/>
            <w:tcBorders>
              <w:top w:val="nil"/>
              <w:left w:val="nil"/>
              <w:bottom w:val="nil"/>
              <w:right w:val="nil"/>
            </w:tcBorders>
            <w:shd w:val="clear" w:color="auto" w:fill="auto"/>
            <w:vAlign w:val="center"/>
            <w:hideMark/>
          </w:tcPr>
          <w:p w14:paraId="0F8D7D6C" w14:textId="77777777" w:rsidR="00BF2D2F" w:rsidRPr="00836C1C" w:rsidRDefault="00BF2D2F" w:rsidP="00D028F7">
            <w:pPr>
              <w:jc w:val="center"/>
              <w:rPr>
                <w:rFonts w:ascii="Times New Roman" w:eastAsia="Times New Roman" w:hAnsi="Times New Roman" w:cs="Times New Roman"/>
                <w:sz w:val="20"/>
                <w:szCs w:val="20"/>
                <w:lang w:eastAsia="es-MX"/>
              </w:rPr>
            </w:pPr>
          </w:p>
        </w:tc>
      </w:tr>
      <w:tr w:rsidR="00BF2D2F" w:rsidRPr="00836C1C" w14:paraId="0125AF0A" w14:textId="77777777" w:rsidTr="00D028F7">
        <w:trPr>
          <w:trHeight w:val="480"/>
        </w:trPr>
        <w:tc>
          <w:tcPr>
            <w:tcW w:w="2620" w:type="dxa"/>
            <w:vMerge w:val="restart"/>
            <w:tcBorders>
              <w:top w:val="single" w:sz="8" w:space="0" w:color="auto"/>
              <w:left w:val="single" w:sz="8" w:space="0" w:color="auto"/>
              <w:bottom w:val="double" w:sz="6" w:space="0" w:color="000000"/>
              <w:right w:val="single" w:sz="4" w:space="0" w:color="auto"/>
            </w:tcBorders>
            <w:shd w:val="clear" w:color="000000" w:fill="C00000"/>
            <w:vAlign w:val="center"/>
            <w:hideMark/>
          </w:tcPr>
          <w:p w14:paraId="2B11281F"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CONCEPTO</w:t>
            </w:r>
          </w:p>
        </w:tc>
        <w:tc>
          <w:tcPr>
            <w:tcW w:w="1540" w:type="dxa"/>
            <w:vMerge w:val="restart"/>
            <w:tcBorders>
              <w:top w:val="single" w:sz="8" w:space="0" w:color="auto"/>
              <w:left w:val="single" w:sz="4" w:space="0" w:color="auto"/>
              <w:bottom w:val="double" w:sz="6" w:space="0" w:color="000000"/>
              <w:right w:val="single" w:sz="4" w:space="0" w:color="auto"/>
            </w:tcBorders>
            <w:shd w:val="clear" w:color="000000" w:fill="C00000"/>
            <w:vAlign w:val="center"/>
            <w:hideMark/>
          </w:tcPr>
          <w:p w14:paraId="4C3CEF6C"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PPEF 2026</w:t>
            </w:r>
          </w:p>
        </w:tc>
        <w:tc>
          <w:tcPr>
            <w:tcW w:w="1540" w:type="dxa"/>
            <w:vMerge w:val="restart"/>
            <w:tcBorders>
              <w:top w:val="single" w:sz="8" w:space="0" w:color="auto"/>
              <w:left w:val="single" w:sz="4" w:space="0" w:color="auto"/>
              <w:bottom w:val="double" w:sz="6" w:space="0" w:color="000000"/>
              <w:right w:val="single" w:sz="4" w:space="0" w:color="auto"/>
            </w:tcBorders>
            <w:shd w:val="clear" w:color="000000" w:fill="C00000"/>
            <w:vAlign w:val="center"/>
            <w:hideMark/>
          </w:tcPr>
          <w:p w14:paraId="58B9EAFC"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PPEF 2027</w:t>
            </w:r>
          </w:p>
        </w:tc>
        <w:tc>
          <w:tcPr>
            <w:tcW w:w="2780" w:type="dxa"/>
            <w:gridSpan w:val="2"/>
            <w:tcBorders>
              <w:top w:val="single" w:sz="8" w:space="0" w:color="auto"/>
              <w:left w:val="nil"/>
              <w:bottom w:val="single" w:sz="4" w:space="0" w:color="auto"/>
              <w:right w:val="single" w:sz="8" w:space="0" w:color="000000"/>
            </w:tcBorders>
            <w:shd w:val="clear" w:color="000000" w:fill="C00000"/>
            <w:vAlign w:val="center"/>
            <w:hideMark/>
          </w:tcPr>
          <w:p w14:paraId="6F789CD6"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PPEF 26 VS PPEF 27</w:t>
            </w:r>
          </w:p>
        </w:tc>
      </w:tr>
      <w:tr w:rsidR="00BF2D2F" w:rsidRPr="00836C1C" w14:paraId="3DD52237" w14:textId="77777777" w:rsidTr="00D028F7">
        <w:trPr>
          <w:trHeight w:val="435"/>
        </w:trPr>
        <w:tc>
          <w:tcPr>
            <w:tcW w:w="2620" w:type="dxa"/>
            <w:vMerge/>
            <w:tcBorders>
              <w:top w:val="single" w:sz="8" w:space="0" w:color="auto"/>
              <w:left w:val="single" w:sz="8" w:space="0" w:color="auto"/>
              <w:bottom w:val="double" w:sz="6" w:space="0" w:color="000000"/>
              <w:right w:val="single" w:sz="4" w:space="0" w:color="auto"/>
            </w:tcBorders>
            <w:vAlign w:val="center"/>
            <w:hideMark/>
          </w:tcPr>
          <w:p w14:paraId="1DB8B853" w14:textId="77777777" w:rsidR="00BF2D2F" w:rsidRPr="00836C1C" w:rsidRDefault="00BF2D2F" w:rsidP="00D028F7">
            <w:pPr>
              <w:rPr>
                <w:rFonts w:ascii="Calibri" w:eastAsia="Times New Roman" w:hAnsi="Calibri" w:cs="Calibri"/>
                <w:b/>
                <w:bCs/>
                <w:color w:val="FFFFFF"/>
                <w:sz w:val="32"/>
                <w:szCs w:val="32"/>
                <w:lang w:eastAsia="es-MX"/>
              </w:rPr>
            </w:pPr>
          </w:p>
        </w:tc>
        <w:tc>
          <w:tcPr>
            <w:tcW w:w="1540" w:type="dxa"/>
            <w:vMerge/>
            <w:tcBorders>
              <w:top w:val="single" w:sz="8" w:space="0" w:color="auto"/>
              <w:left w:val="single" w:sz="4" w:space="0" w:color="auto"/>
              <w:bottom w:val="double" w:sz="6" w:space="0" w:color="000000"/>
              <w:right w:val="single" w:sz="4" w:space="0" w:color="auto"/>
            </w:tcBorders>
            <w:vAlign w:val="center"/>
            <w:hideMark/>
          </w:tcPr>
          <w:p w14:paraId="528409A4" w14:textId="77777777" w:rsidR="00BF2D2F" w:rsidRPr="00836C1C" w:rsidRDefault="00BF2D2F" w:rsidP="00D028F7">
            <w:pPr>
              <w:rPr>
                <w:rFonts w:ascii="Calibri" w:eastAsia="Times New Roman" w:hAnsi="Calibri" w:cs="Calibri"/>
                <w:b/>
                <w:bCs/>
                <w:color w:val="FFFFFF"/>
                <w:sz w:val="32"/>
                <w:szCs w:val="32"/>
                <w:lang w:eastAsia="es-MX"/>
              </w:rPr>
            </w:pPr>
          </w:p>
        </w:tc>
        <w:tc>
          <w:tcPr>
            <w:tcW w:w="1540" w:type="dxa"/>
            <w:vMerge/>
            <w:tcBorders>
              <w:top w:val="single" w:sz="8" w:space="0" w:color="auto"/>
              <w:left w:val="single" w:sz="4" w:space="0" w:color="auto"/>
              <w:bottom w:val="double" w:sz="6" w:space="0" w:color="000000"/>
              <w:right w:val="single" w:sz="4" w:space="0" w:color="auto"/>
            </w:tcBorders>
            <w:vAlign w:val="center"/>
            <w:hideMark/>
          </w:tcPr>
          <w:p w14:paraId="2E72B47B" w14:textId="77777777" w:rsidR="00BF2D2F" w:rsidRPr="00836C1C" w:rsidRDefault="00BF2D2F" w:rsidP="00D028F7">
            <w:pPr>
              <w:rPr>
                <w:rFonts w:ascii="Calibri" w:eastAsia="Times New Roman" w:hAnsi="Calibri" w:cs="Calibri"/>
                <w:b/>
                <w:bCs/>
                <w:color w:val="FFFFFF"/>
                <w:sz w:val="32"/>
                <w:szCs w:val="32"/>
                <w:lang w:eastAsia="es-MX"/>
              </w:rPr>
            </w:pPr>
          </w:p>
        </w:tc>
        <w:tc>
          <w:tcPr>
            <w:tcW w:w="1540" w:type="dxa"/>
            <w:tcBorders>
              <w:top w:val="nil"/>
              <w:left w:val="nil"/>
              <w:bottom w:val="double" w:sz="6" w:space="0" w:color="auto"/>
              <w:right w:val="single" w:sz="4" w:space="0" w:color="auto"/>
            </w:tcBorders>
            <w:shd w:val="clear" w:color="000000" w:fill="C00000"/>
            <w:vAlign w:val="center"/>
            <w:hideMark/>
          </w:tcPr>
          <w:p w14:paraId="01829107"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w:t>
            </w:r>
          </w:p>
        </w:tc>
        <w:tc>
          <w:tcPr>
            <w:tcW w:w="1240" w:type="dxa"/>
            <w:tcBorders>
              <w:top w:val="nil"/>
              <w:left w:val="nil"/>
              <w:bottom w:val="double" w:sz="6" w:space="0" w:color="auto"/>
              <w:right w:val="single" w:sz="8" w:space="0" w:color="auto"/>
            </w:tcBorders>
            <w:shd w:val="clear" w:color="000000" w:fill="C00000"/>
            <w:vAlign w:val="center"/>
            <w:hideMark/>
          </w:tcPr>
          <w:p w14:paraId="090271D1" w14:textId="77777777" w:rsidR="00BF2D2F" w:rsidRPr="00836C1C" w:rsidRDefault="00BF2D2F" w:rsidP="00D028F7">
            <w:pPr>
              <w:jc w:val="cente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w:t>
            </w:r>
          </w:p>
        </w:tc>
      </w:tr>
      <w:tr w:rsidR="00BF2D2F" w:rsidRPr="00836C1C" w14:paraId="56D46EB7" w14:textId="77777777" w:rsidTr="00D028F7">
        <w:trPr>
          <w:trHeight w:val="315"/>
        </w:trPr>
        <w:tc>
          <w:tcPr>
            <w:tcW w:w="2620" w:type="dxa"/>
            <w:tcBorders>
              <w:top w:val="nil"/>
              <w:left w:val="single" w:sz="8" w:space="0" w:color="auto"/>
              <w:bottom w:val="single" w:sz="4" w:space="0" w:color="auto"/>
              <w:right w:val="single" w:sz="4" w:space="0" w:color="auto"/>
            </w:tcBorders>
            <w:shd w:val="clear" w:color="auto" w:fill="auto"/>
            <w:vAlign w:val="center"/>
            <w:hideMark/>
          </w:tcPr>
          <w:p w14:paraId="348E5B4E" w14:textId="77777777" w:rsidR="00BF2D2F" w:rsidRPr="00836C1C" w:rsidRDefault="00BF2D2F" w:rsidP="00D028F7">
            <w:pPr>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Ramo 28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4518DDC"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76,530</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57BC188C"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82,556</w:t>
            </w:r>
          </w:p>
        </w:tc>
        <w:tc>
          <w:tcPr>
            <w:tcW w:w="1540" w:type="dxa"/>
            <w:tcBorders>
              <w:top w:val="nil"/>
              <w:left w:val="nil"/>
              <w:bottom w:val="single" w:sz="4" w:space="0" w:color="auto"/>
              <w:right w:val="single" w:sz="4" w:space="0" w:color="auto"/>
            </w:tcBorders>
            <w:shd w:val="clear" w:color="auto" w:fill="auto"/>
            <w:vAlign w:val="center"/>
            <w:hideMark/>
          </w:tcPr>
          <w:p w14:paraId="660694B7"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6,026</w:t>
            </w:r>
          </w:p>
        </w:tc>
        <w:tc>
          <w:tcPr>
            <w:tcW w:w="1240" w:type="dxa"/>
            <w:tcBorders>
              <w:top w:val="nil"/>
              <w:left w:val="nil"/>
              <w:bottom w:val="single" w:sz="4" w:space="0" w:color="auto"/>
              <w:right w:val="single" w:sz="8" w:space="0" w:color="auto"/>
            </w:tcBorders>
            <w:shd w:val="clear" w:color="auto" w:fill="auto"/>
            <w:vAlign w:val="center"/>
            <w:hideMark/>
          </w:tcPr>
          <w:p w14:paraId="258412DD"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7.9%</w:t>
            </w:r>
          </w:p>
        </w:tc>
      </w:tr>
      <w:tr w:rsidR="00BF2D2F" w:rsidRPr="00836C1C" w14:paraId="64EF555D" w14:textId="77777777" w:rsidTr="00D028F7">
        <w:trPr>
          <w:trHeight w:val="435"/>
        </w:trPr>
        <w:tc>
          <w:tcPr>
            <w:tcW w:w="2620" w:type="dxa"/>
            <w:tcBorders>
              <w:top w:val="nil"/>
              <w:left w:val="single" w:sz="8" w:space="0" w:color="auto"/>
              <w:bottom w:val="single" w:sz="4" w:space="0" w:color="auto"/>
              <w:right w:val="single" w:sz="4" w:space="0" w:color="auto"/>
            </w:tcBorders>
            <w:shd w:val="clear" w:color="auto" w:fill="auto"/>
            <w:vAlign w:val="center"/>
            <w:hideMark/>
          </w:tcPr>
          <w:p w14:paraId="2EA858CB" w14:textId="77777777" w:rsidR="00BF2D2F" w:rsidRPr="00836C1C" w:rsidRDefault="00BF2D2F" w:rsidP="00D028F7">
            <w:pPr>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Ramo 33</w:t>
            </w:r>
          </w:p>
        </w:tc>
        <w:tc>
          <w:tcPr>
            <w:tcW w:w="1540" w:type="dxa"/>
            <w:tcBorders>
              <w:top w:val="nil"/>
              <w:left w:val="nil"/>
              <w:bottom w:val="single" w:sz="4" w:space="0" w:color="auto"/>
              <w:right w:val="single" w:sz="4" w:space="0" w:color="auto"/>
            </w:tcBorders>
            <w:shd w:val="clear" w:color="auto" w:fill="auto"/>
            <w:vAlign w:val="center"/>
            <w:hideMark/>
          </w:tcPr>
          <w:p w14:paraId="0B633652"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36,000</w:t>
            </w:r>
          </w:p>
        </w:tc>
        <w:tc>
          <w:tcPr>
            <w:tcW w:w="1540" w:type="dxa"/>
            <w:tcBorders>
              <w:top w:val="nil"/>
              <w:left w:val="nil"/>
              <w:bottom w:val="single" w:sz="4" w:space="0" w:color="auto"/>
              <w:right w:val="single" w:sz="4" w:space="0" w:color="auto"/>
            </w:tcBorders>
            <w:shd w:val="clear" w:color="auto" w:fill="auto"/>
            <w:vAlign w:val="center"/>
            <w:hideMark/>
          </w:tcPr>
          <w:p w14:paraId="7827A1B5"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39,053</w:t>
            </w:r>
          </w:p>
        </w:tc>
        <w:tc>
          <w:tcPr>
            <w:tcW w:w="1540" w:type="dxa"/>
            <w:tcBorders>
              <w:top w:val="nil"/>
              <w:left w:val="nil"/>
              <w:bottom w:val="single" w:sz="4" w:space="0" w:color="auto"/>
              <w:right w:val="single" w:sz="4" w:space="0" w:color="auto"/>
            </w:tcBorders>
            <w:shd w:val="clear" w:color="auto" w:fill="auto"/>
            <w:vAlign w:val="center"/>
            <w:hideMark/>
          </w:tcPr>
          <w:p w14:paraId="23738641"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3,053</w:t>
            </w:r>
          </w:p>
        </w:tc>
        <w:tc>
          <w:tcPr>
            <w:tcW w:w="1240" w:type="dxa"/>
            <w:tcBorders>
              <w:top w:val="nil"/>
              <w:left w:val="nil"/>
              <w:bottom w:val="single" w:sz="4" w:space="0" w:color="auto"/>
              <w:right w:val="single" w:sz="8" w:space="0" w:color="auto"/>
            </w:tcBorders>
            <w:shd w:val="clear" w:color="auto" w:fill="auto"/>
            <w:vAlign w:val="center"/>
            <w:hideMark/>
          </w:tcPr>
          <w:p w14:paraId="21F23BDD" w14:textId="77777777" w:rsidR="00BF2D2F" w:rsidRPr="00836C1C" w:rsidRDefault="00BF2D2F" w:rsidP="00D028F7">
            <w:pPr>
              <w:jc w:val="right"/>
              <w:rPr>
                <w:rFonts w:ascii="Calibri" w:eastAsia="Times New Roman" w:hAnsi="Calibri" w:cs="Calibri"/>
                <w:sz w:val="32"/>
                <w:szCs w:val="32"/>
                <w:lang w:eastAsia="es-MX"/>
              </w:rPr>
            </w:pPr>
            <w:r w:rsidRPr="00836C1C">
              <w:rPr>
                <w:rFonts w:ascii="Calibri" w:eastAsia="Times New Roman" w:hAnsi="Calibri" w:cs="Calibri"/>
                <w:sz w:val="32"/>
                <w:szCs w:val="32"/>
                <w:lang w:eastAsia="es-MX"/>
              </w:rPr>
              <w:t>8.5%</w:t>
            </w:r>
          </w:p>
        </w:tc>
      </w:tr>
      <w:tr w:rsidR="00BF2D2F" w:rsidRPr="00836C1C" w14:paraId="2C6835C4" w14:textId="77777777" w:rsidTr="00D028F7">
        <w:trPr>
          <w:trHeight w:val="450"/>
        </w:trPr>
        <w:tc>
          <w:tcPr>
            <w:tcW w:w="2620" w:type="dxa"/>
            <w:tcBorders>
              <w:top w:val="double" w:sz="6" w:space="0" w:color="auto"/>
              <w:left w:val="single" w:sz="8" w:space="0" w:color="auto"/>
              <w:bottom w:val="single" w:sz="8" w:space="0" w:color="auto"/>
              <w:right w:val="single" w:sz="4" w:space="0" w:color="auto"/>
            </w:tcBorders>
            <w:shd w:val="clear" w:color="000000" w:fill="FFC000"/>
            <w:vAlign w:val="center"/>
            <w:hideMark/>
          </w:tcPr>
          <w:p w14:paraId="4CAAC6F2" w14:textId="77777777" w:rsidR="00BF2D2F" w:rsidRPr="00836C1C" w:rsidRDefault="00BF2D2F" w:rsidP="00D028F7">
            <w:pPr>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Total</w:t>
            </w:r>
          </w:p>
        </w:tc>
        <w:tc>
          <w:tcPr>
            <w:tcW w:w="1540" w:type="dxa"/>
            <w:tcBorders>
              <w:top w:val="double" w:sz="6" w:space="0" w:color="auto"/>
              <w:left w:val="nil"/>
              <w:bottom w:val="single" w:sz="8" w:space="0" w:color="auto"/>
              <w:right w:val="single" w:sz="4" w:space="0" w:color="auto"/>
            </w:tcBorders>
            <w:shd w:val="clear" w:color="000000" w:fill="FFC000"/>
            <w:vAlign w:val="center"/>
            <w:hideMark/>
          </w:tcPr>
          <w:p w14:paraId="4E9F1CE9" w14:textId="77777777" w:rsidR="00BF2D2F" w:rsidRPr="00836C1C" w:rsidRDefault="00BF2D2F" w:rsidP="00D028F7">
            <w:pPr>
              <w:jc w:val="right"/>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112,530</w:t>
            </w:r>
          </w:p>
        </w:tc>
        <w:tc>
          <w:tcPr>
            <w:tcW w:w="1540" w:type="dxa"/>
            <w:tcBorders>
              <w:top w:val="double" w:sz="6" w:space="0" w:color="auto"/>
              <w:left w:val="nil"/>
              <w:bottom w:val="single" w:sz="8" w:space="0" w:color="auto"/>
              <w:right w:val="single" w:sz="4" w:space="0" w:color="auto"/>
            </w:tcBorders>
            <w:shd w:val="clear" w:color="000000" w:fill="FFC000"/>
            <w:vAlign w:val="center"/>
            <w:hideMark/>
          </w:tcPr>
          <w:p w14:paraId="4924FF2B" w14:textId="77777777" w:rsidR="00BF2D2F" w:rsidRPr="00836C1C" w:rsidRDefault="00BF2D2F" w:rsidP="00D028F7">
            <w:pPr>
              <w:jc w:val="right"/>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121,609</w:t>
            </w:r>
          </w:p>
        </w:tc>
        <w:tc>
          <w:tcPr>
            <w:tcW w:w="1540" w:type="dxa"/>
            <w:tcBorders>
              <w:top w:val="double" w:sz="6" w:space="0" w:color="auto"/>
              <w:left w:val="nil"/>
              <w:bottom w:val="single" w:sz="8" w:space="0" w:color="auto"/>
              <w:right w:val="single" w:sz="4" w:space="0" w:color="auto"/>
            </w:tcBorders>
            <w:shd w:val="clear" w:color="000000" w:fill="FFC000"/>
            <w:vAlign w:val="center"/>
            <w:hideMark/>
          </w:tcPr>
          <w:p w14:paraId="2B5DFD5F" w14:textId="77777777" w:rsidR="00BF2D2F" w:rsidRPr="00836C1C" w:rsidRDefault="00BF2D2F" w:rsidP="00D028F7">
            <w:pPr>
              <w:jc w:val="right"/>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 xml:space="preserve">        9,079 </w:t>
            </w:r>
          </w:p>
        </w:tc>
        <w:tc>
          <w:tcPr>
            <w:tcW w:w="1240" w:type="dxa"/>
            <w:tcBorders>
              <w:top w:val="double" w:sz="6" w:space="0" w:color="auto"/>
              <w:left w:val="nil"/>
              <w:bottom w:val="single" w:sz="8" w:space="0" w:color="auto"/>
              <w:right w:val="single" w:sz="8" w:space="0" w:color="auto"/>
            </w:tcBorders>
            <w:shd w:val="clear" w:color="000000" w:fill="FFC000"/>
            <w:vAlign w:val="center"/>
            <w:hideMark/>
          </w:tcPr>
          <w:p w14:paraId="4FCDFCCD" w14:textId="77777777" w:rsidR="00BF2D2F" w:rsidRPr="00836C1C" w:rsidRDefault="00BF2D2F" w:rsidP="00D028F7">
            <w:pPr>
              <w:jc w:val="right"/>
              <w:rPr>
                <w:rFonts w:ascii="Calibri" w:eastAsia="Times New Roman" w:hAnsi="Calibri" w:cs="Calibri"/>
                <w:b/>
                <w:bCs/>
                <w:color w:val="FFFFFF"/>
                <w:sz w:val="32"/>
                <w:szCs w:val="32"/>
                <w:lang w:eastAsia="es-MX"/>
              </w:rPr>
            </w:pPr>
            <w:r w:rsidRPr="00836C1C">
              <w:rPr>
                <w:rFonts w:ascii="Calibri" w:eastAsia="Times New Roman" w:hAnsi="Calibri" w:cs="Calibri"/>
                <w:b/>
                <w:bCs/>
                <w:color w:val="FFFFFF"/>
                <w:sz w:val="32"/>
                <w:szCs w:val="32"/>
                <w:lang w:eastAsia="es-MX"/>
              </w:rPr>
              <w:t>8.1%</w:t>
            </w:r>
          </w:p>
        </w:tc>
      </w:tr>
    </w:tbl>
    <w:p w14:paraId="34E36C42" w14:textId="77777777" w:rsidR="00BF2D2F" w:rsidRDefault="00BF2D2F" w:rsidP="00BF2D2F">
      <w:pPr>
        <w:pStyle w:val="NormalWeb"/>
        <w:rPr>
          <w:rFonts w:ascii="Arial" w:hAnsi="Arial" w:cs="Arial"/>
        </w:rPr>
      </w:pPr>
    </w:p>
    <w:p w14:paraId="13BCE178" w14:textId="77777777" w:rsidR="00BF2D2F" w:rsidRDefault="00BF2D2F" w:rsidP="00BF2D2F">
      <w:pPr>
        <w:pStyle w:val="NormalWeb"/>
        <w:rPr>
          <w:rFonts w:ascii="Arial" w:hAnsi="Arial" w:cs="Arial"/>
        </w:rPr>
      </w:pPr>
      <w:r>
        <w:rPr>
          <w:rFonts w:ascii="Arial" w:hAnsi="Arial" w:cs="Arial"/>
        </w:rPr>
        <w:lastRenderedPageBreak/>
        <w:t>*Tabla elaborada a partir de una revisión preliminar del Proyecto de Paquete Fiscal Federal 2027.</w:t>
      </w: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E40"/>
    <w:multiLevelType w:val="hybridMultilevel"/>
    <w:tmpl w:val="5A1A1D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2B1F"/>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BF2D2F"/>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styleId="NormalWeb">
    <w:name w:val="Normal (Web)"/>
    <w:basedOn w:val="Normal"/>
    <w:uiPriority w:val="99"/>
    <w:unhideWhenUsed/>
    <w:rsid w:val="00BF2D2F"/>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568F-8865-4DB0-8B5B-A2B98D47E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2026-09-09T17:29:00Z</dcterms:created>
  <dcterms:modified xsi:type="dcterms:W3CDTF">2026-09-09T17:29:00Z</dcterms:modified>
</cp:coreProperties>
</file>