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93C" w:rsidRDefault="00967EF0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CP/0732/2025</w:t>
      </w:r>
    </w:p>
    <w:p w:rsidR="001E193C" w:rsidRDefault="00967EF0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 de junio de 2025</w:t>
      </w:r>
    </w:p>
    <w:p w:rsidR="001E193C" w:rsidRDefault="00967EF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1E193C" w:rsidRDefault="00967EF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EVITARÁ NUEVO LEÓN PAGAR 1,193 MILLONES DE PESOS POR INTERESES</w:t>
      </w:r>
    </w:p>
    <w:p w:rsidR="001E193C" w:rsidRDefault="001E193C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1E193C" w:rsidRDefault="001E193C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1E193C" w:rsidRDefault="001E193C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1E193C" w:rsidRDefault="00967EF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1E193C" w:rsidRDefault="00967EF0">
      <w:pPr>
        <w:jc w:val="center"/>
        <w:rPr>
          <w:rFonts w:ascii="Arial" w:eastAsia="Arial" w:hAnsi="Arial" w:cs="Arial"/>
          <w:i/>
          <w:sz w:val="27"/>
          <w:szCs w:val="27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</w:t>
      </w:r>
      <w:r>
        <w:rPr>
          <w:rFonts w:ascii="Arial" w:eastAsia="Arial" w:hAnsi="Arial" w:cs="Arial"/>
          <w:i/>
          <w:sz w:val="15"/>
          <w:szCs w:val="15"/>
        </w:rPr>
        <w:t>●</w:t>
      </w:r>
      <w:r>
        <w:rPr>
          <w:rFonts w:ascii="Arial" w:eastAsia="Arial" w:hAnsi="Arial" w:cs="Arial"/>
          <w:i/>
          <w:sz w:val="27"/>
          <w:szCs w:val="27"/>
        </w:rPr>
        <w:t xml:space="preserve"> Reestructuró deuda por 7 mil 723 millones de pesos, con menos intereses y plazo mayores.</w:t>
      </w:r>
    </w:p>
    <w:p w:rsidR="001E193C" w:rsidRDefault="001E193C">
      <w:pPr>
        <w:jc w:val="center"/>
        <w:rPr>
          <w:rFonts w:ascii="Arial" w:eastAsia="Arial" w:hAnsi="Arial" w:cs="Arial"/>
          <w:i/>
          <w:sz w:val="27"/>
          <w:szCs w:val="27"/>
        </w:rPr>
      </w:pPr>
      <w:bookmarkStart w:id="0" w:name="_GoBack"/>
      <w:bookmarkEnd w:id="0"/>
    </w:p>
    <w:p w:rsidR="001E193C" w:rsidRDefault="001E193C">
      <w:pPr>
        <w:jc w:val="center"/>
        <w:rPr>
          <w:rFonts w:ascii="Arial" w:eastAsia="Arial" w:hAnsi="Arial" w:cs="Arial"/>
          <w:i/>
          <w:sz w:val="27"/>
          <w:szCs w:val="27"/>
        </w:rPr>
      </w:pPr>
    </w:p>
    <w:p w:rsidR="001E193C" w:rsidRDefault="001E193C">
      <w:pPr>
        <w:jc w:val="center"/>
        <w:rPr>
          <w:rFonts w:ascii="Arial" w:eastAsia="Arial" w:hAnsi="Arial" w:cs="Arial"/>
          <w:i/>
          <w:sz w:val="22"/>
          <w:szCs w:val="22"/>
        </w:rPr>
      </w:pPr>
    </w:p>
    <w:p w:rsidR="001E193C" w:rsidRDefault="00967EF0">
      <w:pPr>
        <w:jc w:val="both"/>
        <w:rPr>
          <w:rFonts w:ascii="Arial" w:eastAsia="Arial" w:hAnsi="Arial" w:cs="Arial"/>
          <w:sz w:val="28"/>
          <w:szCs w:val="28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>
        <w:rPr>
          <w:rFonts w:ascii="Arial" w:eastAsia="Arial" w:hAnsi="Arial" w:cs="Arial"/>
          <w:sz w:val="28"/>
          <w:szCs w:val="28"/>
        </w:rPr>
        <w:t>El Gobierno de Nuevo León evitará pagar intereses por 380 millones de pesos en lo que resta de la presente administración y 813 millones de pesos durante la siguiente, con base en la reestructura de deuda por 7 mil 723 millones de pesos.</w:t>
      </w:r>
    </w:p>
    <w:p w:rsidR="001E193C" w:rsidRDefault="00967EF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1E193C" w:rsidRDefault="00967EF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La Secretaría de Finanzas y Tesorería General del Estado dio a conocer hoy el resultado del proceso competitivo para asignar financiamiento por la cantidad mencionada, como se establece en el Paquete Fiscal aprobado por el Poder Legislativo estatal.</w:t>
      </w:r>
    </w:p>
    <w:p w:rsidR="001E193C" w:rsidRDefault="00967EF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1E193C" w:rsidRDefault="00967EF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Expl</w:t>
      </w:r>
      <w:r>
        <w:rPr>
          <w:rFonts w:ascii="Arial" w:eastAsia="Arial" w:hAnsi="Arial" w:cs="Arial"/>
          <w:sz w:val="28"/>
          <w:szCs w:val="28"/>
        </w:rPr>
        <w:t xml:space="preserve">icó que cuatro instituciones financieras obtuvieron la asignación de financiamientos constitutivos de deuda pública, con intereses menores y a un plazo mayor. </w:t>
      </w:r>
    </w:p>
    <w:p w:rsidR="001E193C" w:rsidRDefault="00967EF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1E193C" w:rsidRDefault="00967EF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En promedio, la sobretasa de interés se redujo de 0.68 por ciento a 0.57 por ciento y el plazo</w:t>
      </w:r>
      <w:r>
        <w:rPr>
          <w:rFonts w:ascii="Arial" w:eastAsia="Arial" w:hAnsi="Arial" w:cs="Arial"/>
          <w:sz w:val="28"/>
          <w:szCs w:val="28"/>
        </w:rPr>
        <w:t xml:space="preserve"> pasó de 15 años a 20 años. Además, no se pagaron comisiones ni hubo gastos asociados.</w:t>
      </w:r>
    </w:p>
    <w:p w:rsidR="001E193C" w:rsidRDefault="00967EF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1E193C" w:rsidRDefault="00967EF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La Secretaría de Finanzas informó que se recibieron nueve propuestas de cinco instituciones financieras. Las que presentaron las propuestas de financiamiento con mejor</w:t>
      </w:r>
      <w:r>
        <w:rPr>
          <w:rFonts w:ascii="Arial" w:eastAsia="Arial" w:hAnsi="Arial" w:cs="Arial"/>
          <w:sz w:val="28"/>
          <w:szCs w:val="28"/>
        </w:rPr>
        <w:t>es condiciones y, por ello, obtuvieron la asignación fueron las siguientes:</w:t>
      </w:r>
    </w:p>
    <w:p w:rsidR="001E193C" w:rsidRDefault="00967EF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1E193C" w:rsidRDefault="00967EF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• </w:t>
      </w:r>
      <w:proofErr w:type="spellStart"/>
      <w:r>
        <w:rPr>
          <w:rFonts w:ascii="Arial" w:eastAsia="Arial" w:hAnsi="Arial" w:cs="Arial"/>
          <w:sz w:val="28"/>
          <w:szCs w:val="28"/>
        </w:rPr>
        <w:t>Multiva</w:t>
      </w:r>
      <w:proofErr w:type="spellEnd"/>
      <w:r>
        <w:rPr>
          <w:rFonts w:ascii="Arial" w:eastAsia="Arial" w:hAnsi="Arial" w:cs="Arial"/>
          <w:sz w:val="28"/>
          <w:szCs w:val="28"/>
        </w:rPr>
        <w:t>, 3 mil 500 millones de pesos.</w:t>
      </w:r>
    </w:p>
    <w:p w:rsidR="001E193C" w:rsidRDefault="00967EF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 BBVA, 3 mil 190 millones de pesos.</w:t>
      </w:r>
    </w:p>
    <w:p w:rsidR="001E193C" w:rsidRDefault="00967EF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 Santander 1,000 millones de pesos.</w:t>
      </w:r>
    </w:p>
    <w:p w:rsidR="001E193C" w:rsidRDefault="00967EF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• </w:t>
      </w:r>
      <w:proofErr w:type="spellStart"/>
      <w:r>
        <w:rPr>
          <w:rFonts w:ascii="Arial" w:eastAsia="Arial" w:hAnsi="Arial" w:cs="Arial"/>
          <w:sz w:val="28"/>
          <w:szCs w:val="28"/>
        </w:rPr>
        <w:t>Banobras</w:t>
      </w:r>
      <w:proofErr w:type="spellEnd"/>
      <w:r>
        <w:rPr>
          <w:rFonts w:ascii="Arial" w:eastAsia="Arial" w:hAnsi="Arial" w:cs="Arial"/>
          <w:sz w:val="28"/>
          <w:szCs w:val="28"/>
        </w:rPr>
        <w:t>, 33 millones de pesos.</w:t>
      </w:r>
    </w:p>
    <w:p w:rsidR="001E193C" w:rsidRDefault="001E193C">
      <w:pPr>
        <w:jc w:val="both"/>
        <w:rPr>
          <w:rFonts w:ascii="Arial" w:eastAsia="Arial" w:hAnsi="Arial" w:cs="Arial"/>
          <w:sz w:val="28"/>
          <w:szCs w:val="28"/>
        </w:rPr>
      </w:pPr>
      <w:bookmarkStart w:id="2" w:name="_heading=h.ypjf4tsq6kms" w:colFirst="0" w:colLast="0"/>
      <w:bookmarkEnd w:id="2"/>
    </w:p>
    <w:p w:rsidR="001E193C" w:rsidRDefault="001E193C">
      <w:pPr>
        <w:jc w:val="both"/>
        <w:rPr>
          <w:rFonts w:ascii="Arial" w:eastAsia="Arial" w:hAnsi="Arial" w:cs="Arial"/>
          <w:sz w:val="27"/>
          <w:szCs w:val="27"/>
        </w:rPr>
      </w:pPr>
      <w:bookmarkStart w:id="3" w:name="_heading=h.aynl7h5su7cc" w:colFirst="0" w:colLast="0"/>
      <w:bookmarkEnd w:id="3"/>
    </w:p>
    <w:p w:rsidR="001E193C" w:rsidRDefault="001E193C">
      <w:pPr>
        <w:jc w:val="both"/>
        <w:rPr>
          <w:rFonts w:ascii="Arial" w:eastAsia="Arial" w:hAnsi="Arial" w:cs="Arial"/>
          <w:sz w:val="28"/>
          <w:szCs w:val="28"/>
        </w:rPr>
      </w:pPr>
      <w:bookmarkStart w:id="4" w:name="_heading=h.i7781pwgicfi" w:colFirst="0" w:colLast="0"/>
      <w:bookmarkEnd w:id="4"/>
    </w:p>
    <w:sectPr w:rsidR="001E193C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67EF0">
      <w:r>
        <w:separator/>
      </w:r>
    </w:p>
  </w:endnote>
  <w:endnote w:type="continuationSeparator" w:id="0">
    <w:p w:rsidR="00000000" w:rsidRDefault="0096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93C" w:rsidRDefault="00967E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E193C" w:rsidRDefault="001E193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1E193C" w:rsidRDefault="001E193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67EF0">
      <w:r>
        <w:separator/>
      </w:r>
    </w:p>
  </w:footnote>
  <w:footnote w:type="continuationSeparator" w:id="0">
    <w:p w:rsidR="00000000" w:rsidRDefault="0096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93C" w:rsidRDefault="00967E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2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3C"/>
    <w:rsid w:val="001E193C"/>
    <w:rsid w:val="0096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B59783-5496-4D4E-9B34-795F99F9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+ZPN1PE0OwqruxnflVSu+0+A8w==">CgMxLjAyCGguZ2pkZ3hzMg5oLnlwamY0dHNxNmttczIOaC55cGpmNHRzcTZrbXMyDmgueXBqZjR0c3E2a21zMg5oLnlwamY0dHNxNmttczIOaC55cGpmNHRzcTZrbXMyDmgueXBqZjR0c3E2a21zMg5oLnlwamY0dHNxNmttczIOaC55cGpmNHRzcTZrbXMyDmgueXBqZjR0c3E2a21zMg5oLnlwamY0dHNxNmttczIOaC55cGpmNHRzcTZrbXMyDmgueXBqZjR0c3E2a21zMg5oLnlwamY0dHNxNmttczIOaC55cGpmNHRzcTZrbXMyDmguYXlubDdoNXN1N2NjMg5oLmk3NzgxcHdnaWNmaTgAciExWGNQNmZjRWo2aDlackVzeG4xOHZESjZxVVA2ZkN6d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dcterms:created xsi:type="dcterms:W3CDTF">2025-06-10T15:17:00Z</dcterms:created>
  <dcterms:modified xsi:type="dcterms:W3CDTF">2025-06-10T15:17:00Z</dcterms:modified>
</cp:coreProperties>
</file>