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7D4C537A" w:rsidR="009C0D7E" w:rsidRDefault="005D69EF" w:rsidP="009C0D7E">
      <w:pPr>
        <w:jc w:val="right"/>
        <w:rPr>
          <w:rFonts w:ascii="Arial" w:hAnsi="Arial" w:cs="Arial"/>
          <w:sz w:val="22"/>
          <w:lang w:val="es-ES"/>
        </w:rPr>
      </w:pPr>
      <w:r>
        <w:rPr>
          <w:rFonts w:ascii="Arial" w:hAnsi="Arial" w:cs="Arial"/>
          <w:sz w:val="22"/>
          <w:lang w:val="es-ES"/>
        </w:rPr>
        <w:t>2</w:t>
      </w:r>
      <w:r w:rsidR="002F55BA">
        <w:rPr>
          <w:rFonts w:ascii="Arial" w:hAnsi="Arial" w:cs="Arial"/>
          <w:sz w:val="22"/>
          <w:lang w:val="es-ES"/>
        </w:rPr>
        <w:t xml:space="preserve">0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253810E4" w:rsidR="00E23F8F" w:rsidRDefault="005D69EF" w:rsidP="007F5780">
      <w:pPr>
        <w:jc w:val="center"/>
        <w:rPr>
          <w:rFonts w:ascii="Arial" w:hAnsi="Arial" w:cs="Arial"/>
          <w:b/>
          <w:sz w:val="28"/>
          <w:szCs w:val="28"/>
        </w:rPr>
      </w:pPr>
      <w:r w:rsidRPr="005D69EF">
        <w:rPr>
          <w:rFonts w:ascii="Arial" w:hAnsi="Arial" w:cs="Arial"/>
          <w:b/>
          <w:sz w:val="28"/>
          <w:szCs w:val="28"/>
        </w:rPr>
        <w:t>PLASMA SCNL EN LIBRO LA PRESERVACIÓN DEL PATRIMONIO</w:t>
      </w:r>
    </w:p>
    <w:p w14:paraId="42B56A2B" w14:textId="77777777" w:rsidR="005D69EF" w:rsidRDefault="005D69EF" w:rsidP="007F5780">
      <w:pPr>
        <w:jc w:val="center"/>
        <w:rPr>
          <w:rFonts w:ascii="Arial" w:hAnsi="Arial" w:cs="Arial"/>
          <w:b/>
          <w:sz w:val="28"/>
          <w:szCs w:val="28"/>
        </w:rPr>
      </w:pPr>
    </w:p>
    <w:p w14:paraId="66F4DEA6" w14:textId="21D64DC2" w:rsidR="005D69EF" w:rsidRPr="005D69EF" w:rsidRDefault="005D69EF" w:rsidP="005D69EF">
      <w:pPr>
        <w:pStyle w:val="Prrafodelista"/>
        <w:numPr>
          <w:ilvl w:val="0"/>
          <w:numId w:val="19"/>
        </w:numPr>
        <w:rPr>
          <w:rFonts w:ascii="Arial" w:hAnsi="Arial" w:cs="Arial"/>
          <w:i/>
          <w:sz w:val="24"/>
          <w:szCs w:val="24"/>
        </w:rPr>
      </w:pPr>
      <w:r w:rsidRPr="005D69EF">
        <w:rPr>
          <w:rFonts w:ascii="Arial" w:hAnsi="Arial" w:cs="Arial"/>
          <w:i/>
          <w:sz w:val="24"/>
          <w:szCs w:val="24"/>
        </w:rPr>
        <w:t xml:space="preserve">Mantienen viva la memoria y la identidad de Nuevo León mediante la preservación del patrimonio cultural. </w:t>
      </w:r>
    </w:p>
    <w:p w14:paraId="501031D3" w14:textId="7DA76D41" w:rsidR="00C27394" w:rsidRDefault="00C27394" w:rsidP="005D69EF">
      <w:pPr>
        <w:pStyle w:val="Prrafodelista"/>
        <w:jc w:val="both"/>
        <w:rPr>
          <w:rFonts w:ascii="Arial" w:hAnsi="Arial" w:cs="Arial"/>
          <w:b/>
          <w:sz w:val="28"/>
          <w:szCs w:val="28"/>
        </w:rPr>
      </w:pPr>
    </w:p>
    <w:p w14:paraId="298ADC8F" w14:textId="538A5A39" w:rsidR="005D69EF" w:rsidRPr="005D69EF" w:rsidRDefault="00BF1FBE" w:rsidP="005D69EF">
      <w:pPr>
        <w:jc w:val="both"/>
        <w:rPr>
          <w:rFonts w:ascii="Arial" w:hAnsi="Arial" w:cs="Arial"/>
          <w:sz w:val="28"/>
          <w:szCs w:val="28"/>
        </w:rPr>
      </w:pPr>
      <w:bookmarkStart w:id="0" w:name="_GoBack"/>
      <w:bookmarkEnd w:id="0"/>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5D69EF" w:rsidRPr="005D69EF">
        <w:rPr>
          <w:rFonts w:ascii="Arial" w:hAnsi="Arial" w:cs="Arial"/>
          <w:sz w:val="28"/>
          <w:szCs w:val="28"/>
        </w:rPr>
        <w:t xml:space="preserve">La Secretaría de Cultura de Nuevo León en el marco de la FIL Monterrey llevó a cabo la presentación del libro “Conservación del patrimonio cultural de Nuevo León: De iniciativa ciudadana a política pública”, una publicación que recorre la historia de FIDECULTURAL y muestra cómo el compromiso de la ciudadanía logró transformarse en una política pública que ha trascendido a lo largo de los años. </w:t>
      </w:r>
    </w:p>
    <w:p w14:paraId="4F3C27CD" w14:textId="77777777" w:rsidR="005D69EF" w:rsidRPr="005D69EF" w:rsidRDefault="005D69EF" w:rsidP="005D69EF">
      <w:pPr>
        <w:jc w:val="both"/>
        <w:rPr>
          <w:rFonts w:ascii="Arial" w:hAnsi="Arial" w:cs="Arial"/>
          <w:sz w:val="28"/>
          <w:szCs w:val="28"/>
        </w:rPr>
      </w:pPr>
    </w:p>
    <w:p w14:paraId="51CFB2BF" w14:textId="77777777" w:rsidR="005D69EF" w:rsidRPr="005D69EF" w:rsidRDefault="005D69EF" w:rsidP="005D69EF">
      <w:pPr>
        <w:jc w:val="both"/>
        <w:rPr>
          <w:rFonts w:ascii="Arial" w:hAnsi="Arial" w:cs="Arial"/>
          <w:sz w:val="28"/>
          <w:szCs w:val="28"/>
        </w:rPr>
      </w:pPr>
      <w:r w:rsidRPr="005D69EF">
        <w:rPr>
          <w:rFonts w:ascii="Arial" w:hAnsi="Arial" w:cs="Arial"/>
          <w:sz w:val="28"/>
          <w:szCs w:val="28"/>
        </w:rPr>
        <w:t xml:space="preserve">“En estos cinco años de administración, desde la Secretaría de Cultura hemos trabajado en cinco ejes estratégicos para consolidar un ecosistema cultural en todo el estado. La conservación del patrimonio es uno de ellos y ocupa un lugar fundamental en esta tarea. Cada espacio que recuperamos fortalece el vínculo de una comunidad con su historia, su territorio y sus raíces. Vamos a seguir impulsando esta labor con visión de largo plazo y con la convicción de que nuestro patrimonio merece permanecer vivo”, enfatizó Melissa Segura Guerrero, Secretaria de Cultura de Nuevo León.  </w:t>
      </w:r>
    </w:p>
    <w:p w14:paraId="280929F9" w14:textId="77777777" w:rsidR="005D69EF" w:rsidRPr="005D69EF" w:rsidRDefault="005D69EF" w:rsidP="005D69EF">
      <w:pPr>
        <w:jc w:val="both"/>
        <w:rPr>
          <w:rFonts w:ascii="Arial" w:hAnsi="Arial" w:cs="Arial"/>
          <w:sz w:val="28"/>
          <w:szCs w:val="28"/>
        </w:rPr>
      </w:pPr>
    </w:p>
    <w:p w14:paraId="029BEE1B" w14:textId="77777777" w:rsidR="005D69EF" w:rsidRPr="005D69EF" w:rsidRDefault="005D69EF" w:rsidP="005D69EF">
      <w:pPr>
        <w:jc w:val="both"/>
        <w:rPr>
          <w:rFonts w:ascii="Arial" w:hAnsi="Arial" w:cs="Arial"/>
          <w:sz w:val="28"/>
          <w:szCs w:val="28"/>
        </w:rPr>
      </w:pPr>
      <w:r w:rsidRPr="005D69EF">
        <w:rPr>
          <w:rFonts w:ascii="Arial" w:hAnsi="Arial" w:cs="Arial"/>
          <w:sz w:val="28"/>
          <w:szCs w:val="28"/>
        </w:rPr>
        <w:t>Además, Segura Guerrero detalló que un ecosistema cultural se fortalece cuando sus instituciones trabajan de manera coordinada y comparten objetivos. FIDECULTURAL, en colaboración con la Secretaría de Cultura y CONARTE, es muestra de lo que podemos alcanzar cuando el gobierno, la sociedad civil y los especialistas unen capacidades y sostienen un compromiso a lo largo del tiempo.</w:t>
      </w:r>
    </w:p>
    <w:p w14:paraId="330A4193" w14:textId="77777777" w:rsidR="005D69EF" w:rsidRPr="005D69EF" w:rsidRDefault="005D69EF" w:rsidP="005D69EF">
      <w:pPr>
        <w:jc w:val="both"/>
        <w:rPr>
          <w:rFonts w:ascii="Arial" w:hAnsi="Arial" w:cs="Arial"/>
          <w:sz w:val="28"/>
          <w:szCs w:val="28"/>
        </w:rPr>
      </w:pPr>
    </w:p>
    <w:p w14:paraId="2B826DFC" w14:textId="77777777" w:rsidR="005D69EF" w:rsidRPr="005D69EF" w:rsidRDefault="005D69EF" w:rsidP="005D69EF">
      <w:pPr>
        <w:jc w:val="both"/>
        <w:rPr>
          <w:rFonts w:ascii="Arial" w:hAnsi="Arial" w:cs="Arial"/>
          <w:sz w:val="28"/>
          <w:szCs w:val="28"/>
        </w:rPr>
      </w:pPr>
      <w:r w:rsidRPr="005D69EF">
        <w:rPr>
          <w:rFonts w:ascii="Arial" w:hAnsi="Arial" w:cs="Arial"/>
          <w:sz w:val="28"/>
          <w:szCs w:val="28"/>
        </w:rPr>
        <w:t xml:space="preserve">Sus páginas reúnen las experiencias, esfuerzos y aprendizajes de quienes han contribuido a la conservación de inmuebles, monumentos y espacios que forman parte de nuestra historia. </w:t>
      </w:r>
    </w:p>
    <w:p w14:paraId="45C23543" w14:textId="77777777" w:rsidR="005D69EF" w:rsidRPr="005D69EF" w:rsidRDefault="005D69EF" w:rsidP="005D69EF">
      <w:pPr>
        <w:jc w:val="both"/>
        <w:rPr>
          <w:rFonts w:ascii="Arial" w:hAnsi="Arial" w:cs="Arial"/>
          <w:sz w:val="28"/>
          <w:szCs w:val="28"/>
        </w:rPr>
      </w:pPr>
    </w:p>
    <w:p w14:paraId="46822794" w14:textId="77777777" w:rsidR="005D69EF" w:rsidRPr="005D69EF" w:rsidRDefault="005D69EF" w:rsidP="005D69EF">
      <w:pPr>
        <w:jc w:val="both"/>
        <w:rPr>
          <w:rFonts w:ascii="Arial" w:hAnsi="Arial" w:cs="Arial"/>
          <w:sz w:val="28"/>
          <w:szCs w:val="28"/>
        </w:rPr>
      </w:pPr>
      <w:r w:rsidRPr="005D69EF">
        <w:rPr>
          <w:rFonts w:ascii="Arial" w:hAnsi="Arial" w:cs="Arial"/>
          <w:sz w:val="28"/>
          <w:szCs w:val="28"/>
        </w:rPr>
        <w:t xml:space="preserve">“El patrimonio cultural es la memoria material e inmaterial de una sociedad, en los edificios históricos, en las obras artísticas, monumentos, en los archivos y en los espacios que heredamos de generaciones anteriores encontramos la huellas de quienes fuimos y las claves para heredar quienes somos. Sin embargo, el patrimonio no se conserva por sí solo. Su protección exige conocimiento técnico, recursos económicos, voluntad política y sobre todo participación ciudadana”, expresó Carmen Junco, vocal ciudadana del Fideicomiso de Patrimonio Cultural. </w:t>
      </w:r>
    </w:p>
    <w:p w14:paraId="0A35233F" w14:textId="77777777" w:rsidR="005D69EF" w:rsidRPr="005D69EF" w:rsidRDefault="005D69EF" w:rsidP="005D69EF">
      <w:pPr>
        <w:jc w:val="both"/>
        <w:rPr>
          <w:rFonts w:ascii="Arial" w:hAnsi="Arial" w:cs="Arial"/>
          <w:sz w:val="28"/>
          <w:szCs w:val="28"/>
        </w:rPr>
      </w:pPr>
    </w:p>
    <w:p w14:paraId="3395F07E" w14:textId="77777777" w:rsidR="005D69EF" w:rsidRPr="005D69EF" w:rsidRDefault="005D69EF" w:rsidP="005D69EF">
      <w:pPr>
        <w:jc w:val="both"/>
        <w:rPr>
          <w:rFonts w:ascii="Arial" w:hAnsi="Arial" w:cs="Arial"/>
          <w:sz w:val="28"/>
          <w:szCs w:val="28"/>
        </w:rPr>
      </w:pPr>
      <w:r w:rsidRPr="005D69EF">
        <w:rPr>
          <w:rFonts w:ascii="Arial" w:hAnsi="Arial" w:cs="Arial"/>
          <w:sz w:val="28"/>
          <w:szCs w:val="28"/>
        </w:rPr>
        <w:t xml:space="preserve">En la presentación también participaron Alejandro Rodríguez, Subsecretario de Participación y Diversidad Cultural; </w:t>
      </w:r>
      <w:proofErr w:type="spellStart"/>
      <w:r w:rsidRPr="005D69EF">
        <w:rPr>
          <w:rFonts w:ascii="Arial" w:hAnsi="Arial" w:cs="Arial"/>
          <w:sz w:val="28"/>
          <w:szCs w:val="28"/>
        </w:rPr>
        <w:t>Arabella</w:t>
      </w:r>
      <w:proofErr w:type="spellEnd"/>
      <w:r w:rsidRPr="005D69EF">
        <w:rPr>
          <w:rFonts w:ascii="Arial" w:hAnsi="Arial" w:cs="Arial"/>
          <w:sz w:val="28"/>
          <w:szCs w:val="28"/>
        </w:rPr>
        <w:t xml:space="preserve"> González y Ulises Carlín, de la Secretaría de Finanzas y Tesorería General del Estado.</w:t>
      </w:r>
    </w:p>
    <w:p w14:paraId="1A37EBFD" w14:textId="77777777" w:rsidR="005D69EF" w:rsidRPr="005D69EF" w:rsidRDefault="005D69EF" w:rsidP="005D69EF">
      <w:pPr>
        <w:jc w:val="both"/>
        <w:rPr>
          <w:rFonts w:ascii="Arial" w:hAnsi="Arial" w:cs="Arial"/>
          <w:sz w:val="28"/>
          <w:szCs w:val="28"/>
        </w:rPr>
      </w:pPr>
    </w:p>
    <w:p w14:paraId="18C2F66D" w14:textId="77777777" w:rsidR="005D69EF" w:rsidRDefault="005D69EF" w:rsidP="005D69EF">
      <w:pPr>
        <w:jc w:val="both"/>
        <w:rPr>
          <w:rFonts w:ascii="Arial" w:hAnsi="Arial" w:cs="Arial"/>
          <w:sz w:val="28"/>
          <w:szCs w:val="28"/>
        </w:rPr>
      </w:pPr>
      <w:r w:rsidRPr="005D69EF">
        <w:rPr>
          <w:rFonts w:ascii="Arial" w:hAnsi="Arial" w:cs="Arial"/>
          <w:sz w:val="28"/>
          <w:szCs w:val="28"/>
        </w:rPr>
        <w:t>“La conservación patrimonial requiere continuidad, planeación y compromiso institucional permanente, por eso resulta tan valioso que se hayan destinado recursos para este propósito; gracias al trabajo coordinado entre el fideicomiso, la Secretaría de Cultura, la Tesorería del Estado, especialistas, propietarios y sociedad civil se haya impulsado desde 2018 un total de 40 proyectos, algunos enfocados en estudios ejecutivos y otros en procesos de conservación y resta</w:t>
      </w:r>
      <w:r>
        <w:rPr>
          <w:rFonts w:ascii="Arial" w:hAnsi="Arial" w:cs="Arial"/>
          <w:sz w:val="28"/>
          <w:szCs w:val="28"/>
        </w:rPr>
        <w:t>uración”, destacó Carmen Junco.</w:t>
      </w:r>
    </w:p>
    <w:p w14:paraId="32B0DDE4" w14:textId="77777777" w:rsidR="005D69EF" w:rsidRDefault="005D69EF" w:rsidP="005D69EF">
      <w:pPr>
        <w:jc w:val="both"/>
        <w:rPr>
          <w:rFonts w:ascii="Arial" w:hAnsi="Arial" w:cs="Arial"/>
          <w:sz w:val="28"/>
          <w:szCs w:val="28"/>
        </w:rPr>
      </w:pPr>
    </w:p>
    <w:p w14:paraId="1D49FBC2" w14:textId="0A748221" w:rsidR="005D69EF" w:rsidRPr="005D69EF" w:rsidRDefault="005D69EF" w:rsidP="005D69EF">
      <w:pPr>
        <w:jc w:val="both"/>
        <w:rPr>
          <w:rFonts w:ascii="Arial" w:hAnsi="Arial" w:cs="Arial"/>
          <w:sz w:val="28"/>
          <w:szCs w:val="28"/>
        </w:rPr>
      </w:pPr>
      <w:r w:rsidRPr="005D69EF">
        <w:rPr>
          <w:rFonts w:ascii="Arial" w:hAnsi="Arial" w:cs="Arial"/>
          <w:sz w:val="28"/>
          <w:szCs w:val="28"/>
        </w:rPr>
        <w:t xml:space="preserve">Del norte al sur de Nuevo León se ha trabajado en la preservación de importantes íconos del patrimonio de la entidad como la Casa de la Cultura Nemesio Naranjo o el Museo de Historia de Lampazos de Naranjo y las Armas Nacionales; Museo Casa de la Plomada en Vallecillo; la parroquia San José de Salinas Hidalgo; Caja de agua y </w:t>
      </w:r>
      <w:r w:rsidRPr="005D69EF">
        <w:rPr>
          <w:rFonts w:ascii="Arial" w:hAnsi="Arial" w:cs="Arial"/>
          <w:sz w:val="28"/>
          <w:szCs w:val="28"/>
        </w:rPr>
        <w:lastRenderedPageBreak/>
        <w:t xml:space="preserve">Capilla Histórica en San Pedro Garza García, al igual que los trabajos realizados en Anáhuac, Villaldama, Zuazua, Salinas Victoria, Santiago, así como Mier y Noriega. </w:t>
      </w:r>
    </w:p>
    <w:p w14:paraId="3A4C03A4" w14:textId="77777777" w:rsidR="005D69EF" w:rsidRPr="005D69EF" w:rsidRDefault="005D69EF" w:rsidP="005D69EF">
      <w:pPr>
        <w:jc w:val="both"/>
        <w:rPr>
          <w:rFonts w:ascii="Arial" w:hAnsi="Arial" w:cs="Arial"/>
          <w:sz w:val="28"/>
          <w:szCs w:val="28"/>
        </w:rPr>
      </w:pPr>
    </w:p>
    <w:p w14:paraId="11346CF8" w14:textId="77777777" w:rsidR="005D69EF" w:rsidRPr="005D69EF" w:rsidRDefault="005D69EF" w:rsidP="005D69EF">
      <w:pPr>
        <w:jc w:val="both"/>
        <w:rPr>
          <w:rFonts w:ascii="Arial" w:hAnsi="Arial" w:cs="Arial"/>
          <w:sz w:val="28"/>
          <w:szCs w:val="28"/>
        </w:rPr>
      </w:pPr>
      <w:r w:rsidRPr="005D69EF">
        <w:rPr>
          <w:rFonts w:ascii="Arial" w:hAnsi="Arial" w:cs="Arial"/>
          <w:sz w:val="28"/>
          <w:szCs w:val="28"/>
        </w:rPr>
        <w:t xml:space="preserve">Y en el caso de Monterrey, destacan numerosos proyectos como los realizados en el Templo de Nuestra Señora de los Dolores, Museo Estatal de Culturas Populares, Fuente de los delfines, Museo Regional de Nuevo León El Obispado, Antiguo Santuario de Nuestra Señora de Guadalupe, Arco de la Independencia, así como las esculturas La Lagartera y Caballo, entre otros. </w:t>
      </w:r>
    </w:p>
    <w:p w14:paraId="23451706" w14:textId="77777777" w:rsidR="005D69EF" w:rsidRPr="005D69EF" w:rsidRDefault="005D69EF" w:rsidP="005D69EF">
      <w:pPr>
        <w:jc w:val="both"/>
        <w:rPr>
          <w:rFonts w:ascii="Arial" w:hAnsi="Arial" w:cs="Arial"/>
          <w:sz w:val="28"/>
          <w:szCs w:val="28"/>
        </w:rPr>
      </w:pPr>
    </w:p>
    <w:p w14:paraId="4B70D62F" w14:textId="2C910C1C" w:rsidR="00061431" w:rsidRDefault="005D69EF" w:rsidP="005D69EF">
      <w:pPr>
        <w:jc w:val="both"/>
        <w:rPr>
          <w:rFonts w:ascii="Arial" w:hAnsi="Arial" w:cs="Arial"/>
          <w:sz w:val="28"/>
          <w:szCs w:val="28"/>
        </w:rPr>
      </w:pPr>
      <w:r w:rsidRPr="005D69EF">
        <w:rPr>
          <w:rFonts w:ascii="Arial" w:hAnsi="Arial" w:cs="Arial"/>
          <w:sz w:val="28"/>
          <w:szCs w:val="28"/>
        </w:rPr>
        <w:t>Este libro es también una invitación a seguir protegiendo y valorando el patrimonio que compartimos, no da identidad y legaremos a las futuras generaciones.</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D69EF"/>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48B74-57E1-4DC2-B513-DD2FDC711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622</Words>
  <Characters>3427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2026-10-20T16:52:00Z</dcterms:created>
  <dcterms:modified xsi:type="dcterms:W3CDTF">2026-10-20T16:52:00Z</dcterms:modified>
</cp:coreProperties>
</file>