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ADA" w:rsidRDefault="00622CBA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CP/1477/2026</w:t>
      </w:r>
    </w:p>
    <w:p w:rsidR="00446ADA" w:rsidRDefault="00622CBA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16 de octubre de 2026</w:t>
      </w:r>
    </w:p>
    <w:p w:rsidR="00446ADA" w:rsidRDefault="00446ADA">
      <w:pPr>
        <w:rPr>
          <w:rFonts w:ascii="Arial" w:eastAsia="Arial" w:hAnsi="Arial" w:cs="Arial"/>
          <w:sz w:val="22"/>
          <w:szCs w:val="22"/>
        </w:rPr>
      </w:pPr>
    </w:p>
    <w:p w:rsidR="00446ADA" w:rsidRDefault="00446ADA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446ADA" w:rsidRDefault="00622CBA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AVANZA ICV EN DIGITALIZACIÓN DE TRÁMITES Y FORTALECIMIENTO DEL REGISTRO VEHICULAR</w:t>
      </w:r>
    </w:p>
    <w:p w:rsidR="00446ADA" w:rsidRDefault="00446ADA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446ADA" w:rsidRDefault="00622CBA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Los servicios digitales pasaron de 287 mil 424 trámites en 2021 a 673 mil 193 en 2026.</w:t>
      </w:r>
    </w:p>
    <w:p w:rsidR="00446ADA" w:rsidRDefault="00622CBA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 La participación de los trámites digitales en el total registrado pasó de 15.7% a 29.4%.</w:t>
      </w:r>
    </w:p>
    <w:p w:rsidR="00446ADA" w:rsidRDefault="00622CBA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bookmarkStart w:id="1" w:name="_heading=h.6jfkdvhr8jt" w:colFirst="0" w:colLast="0"/>
      <w:bookmarkEnd w:id="1"/>
      <w:r>
        <w:rPr>
          <w:rFonts w:ascii="Arial" w:eastAsia="Arial" w:hAnsi="Arial" w:cs="Arial"/>
          <w:i/>
          <w:iCs/>
        </w:rPr>
        <w:t>El padrón vehicular registra 2 millones 903 mil 108 unidades; mantenerlo actualizado favorece la certeza jurídica y la seguridad patrimonial.</w:t>
      </w:r>
    </w:p>
    <w:p w:rsidR="00446ADA" w:rsidRDefault="00446ADA">
      <w:pPr>
        <w:rPr>
          <w:rFonts w:ascii="Arial" w:eastAsia="Arial" w:hAnsi="Arial" w:cs="Arial"/>
          <w:i/>
          <w:iCs/>
        </w:rPr>
      </w:pPr>
    </w:p>
    <w:p w:rsidR="00446ADA" w:rsidRDefault="00622CBA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Monterrey, Nuevo León.-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 el marco del Quinto Informe de Gobierno, el Instituto de Control Vehicular de Nuevo León (ICV) informó sobre la ampliación del uso de sus servicios digitales y las acciones para facilitar el cumplimiento de las obligaciones vehiculares, mantener actual</w:t>
      </w:r>
      <w:r>
        <w:rPr>
          <w:rFonts w:ascii="Arial" w:eastAsia="Arial" w:hAnsi="Arial" w:cs="Arial"/>
          <w:sz w:val="28"/>
          <w:szCs w:val="28"/>
        </w:rPr>
        <w:t>izado el padrón y fortalecer la atención ciudadana.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De acuerdo con los registros institucionales incluidos en el balance, los trámites efectuados por internet pasaron de 287 mil 424 en 2021 a 673 mil 193 en el corte del 15 de octubre de 2026, equivalente a</w:t>
      </w:r>
      <w:r>
        <w:rPr>
          <w:rFonts w:ascii="Arial" w:eastAsia="Arial" w:hAnsi="Arial" w:cs="Arial"/>
          <w:sz w:val="28"/>
          <w:szCs w:val="28"/>
        </w:rPr>
        <w:t xml:space="preserve"> un incremento de 134.22% entre ambas cifras. En ese mismo comparativo, la proporción de trámites digitales respecto del total de operaciones digitales y presenciales pasó de 15.7% a 29.4%.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Como resultado de la estrategia de transformación digital y facili</w:t>
      </w:r>
      <w:r>
        <w:rPr>
          <w:rFonts w:ascii="Arial" w:eastAsia="Arial" w:hAnsi="Arial" w:cs="Arial"/>
          <w:sz w:val="28"/>
          <w:szCs w:val="28"/>
        </w:rPr>
        <w:t>dades de pago, las transacciones del refrendo realizadas por internet registraron un crecimiento de 126.2% al pasar de 221 mil 354 pagos en 2021 a 500 mil 778 en lo que va del 2026. En este rubro se destaca de manera particular el acelerado ritmo de adopci</w:t>
      </w:r>
      <w:r>
        <w:rPr>
          <w:rFonts w:ascii="Arial" w:eastAsia="Arial" w:hAnsi="Arial" w:cs="Arial"/>
          <w:sz w:val="28"/>
          <w:szCs w:val="28"/>
        </w:rPr>
        <w:t>ón registrado a partir de 2025, periodo en el que el uso de plataformas digitales mostró su repunte más pronunciado, permitiendo que la modalidad en línea pasara de representar el 27% en 2021 al 45% en 2026.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Durante el 2026 se han registrado 27 mil 060 alt</w:t>
      </w:r>
      <w:r>
        <w:rPr>
          <w:rFonts w:ascii="Arial" w:eastAsia="Arial" w:hAnsi="Arial" w:cs="Arial"/>
          <w:sz w:val="28"/>
          <w:szCs w:val="28"/>
        </w:rPr>
        <w:t>as de vehículos por internet y 115 mil 400 renovaciones de licencias de conducir en línea. Estas alternativas permiten gestionar determinados procedimientos de forma remota, de acuerdo con los requisitos y etapas aplicables a cada trámite.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atención pres</w:t>
      </w:r>
      <w:r>
        <w:rPr>
          <w:rFonts w:ascii="Arial" w:eastAsia="Arial" w:hAnsi="Arial" w:cs="Arial"/>
          <w:sz w:val="28"/>
          <w:szCs w:val="28"/>
        </w:rPr>
        <w:t>encial mantiene su importancia. El Instituto reporta 1 millón 615 mil 498 trámites presenciales al corte del 15 de octubre de 2026, frente a 1 millón 546 mil 181 contabilizados en 2021. Por ello, la estrategia institucional contempla fortalecer tanto los c</w:t>
      </w:r>
      <w:r>
        <w:rPr>
          <w:rFonts w:ascii="Arial" w:eastAsia="Arial" w:hAnsi="Arial" w:cs="Arial"/>
          <w:sz w:val="28"/>
          <w:szCs w:val="28"/>
        </w:rPr>
        <w:t>anales digitales como las delegaciones, para ofrecer distintas opciones de atención según las necesidades de las personas usuarias.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materia de registro, el padrón vehicular pasó de 2 millones 591 mil 768 unidades en 2021 a 2 millones 903 mil 108 en el c</w:t>
      </w:r>
      <w:r>
        <w:rPr>
          <w:rFonts w:ascii="Arial" w:eastAsia="Arial" w:hAnsi="Arial" w:cs="Arial"/>
          <w:sz w:val="28"/>
          <w:szCs w:val="28"/>
        </w:rPr>
        <w:t>orte de 2026, una diferencia de 311 mil 340 registros (12.01%).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Así como el importante volumen de trámites realizados, el control vehicular cumple una función pública, que es facilitar la identificación y documentación de los vehículos, dar certeza jurídic</w:t>
      </w:r>
      <w:r>
        <w:rPr>
          <w:rFonts w:ascii="Arial" w:eastAsia="Arial" w:hAnsi="Arial" w:cs="Arial"/>
          <w:sz w:val="28"/>
          <w:szCs w:val="28"/>
        </w:rPr>
        <w:t>a a sus propietarios, contribuir a la seguridad patrimonial y disponer de información registral útil para las autoridades competentes. Mantener los datos actualizados también forma parte de una cultura de cumplimiento oportuno de las obligaciones vehicular</w:t>
      </w:r>
      <w:r>
        <w:rPr>
          <w:rFonts w:ascii="Arial" w:eastAsia="Arial" w:hAnsi="Arial" w:cs="Arial"/>
          <w:sz w:val="28"/>
          <w:szCs w:val="28"/>
        </w:rPr>
        <w:t>es.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aplicación móvil ICVNL incorpora herramientas para realizar gestiones y pagos, entre ellas la renovación y certificación de licencias y la certificación de pagos vehiculares. El balance institucional refiere más de 500 mil descargas en Google Play y</w:t>
      </w:r>
      <w:r>
        <w:rPr>
          <w:rFonts w:ascii="Arial" w:eastAsia="Arial" w:hAnsi="Arial" w:cs="Arial"/>
          <w:sz w:val="28"/>
          <w:szCs w:val="28"/>
        </w:rPr>
        <w:t xml:space="preserve"> 429 mil en App Store.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“Estamos fortaleciendo los servicios del Instituto para responder al crecimiento del padrón vehicular y facilitar que las y los ciudadanos realicen sus trámites de manera más ágil, segura y accesible”, señaló el titular del ICV, Carl</w:t>
      </w:r>
      <w:r>
        <w:rPr>
          <w:rFonts w:ascii="Arial" w:eastAsia="Arial" w:hAnsi="Arial" w:cs="Arial"/>
          <w:sz w:val="28"/>
          <w:szCs w:val="28"/>
        </w:rPr>
        <w:t>os Comsille.</w:t>
      </w:r>
    </w:p>
    <w:p w:rsidR="00446ADA" w:rsidRDefault="00622CBA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Instituto continuará impulsando la mejora de sus canales de atención, la orientación ciudadana —incluida la línea 070— y la actualización de los registros. El objetivo es facilitar el cumplimiento de obligaciones y que la modernización se t</w:t>
      </w:r>
      <w:r>
        <w:rPr>
          <w:rFonts w:ascii="Arial" w:eastAsia="Arial" w:hAnsi="Arial" w:cs="Arial"/>
          <w:sz w:val="28"/>
          <w:szCs w:val="28"/>
        </w:rPr>
        <w:t>raduzca progresivamente en procedimientos más accesibles, claros y eficientes.</w:t>
      </w:r>
    </w:p>
    <w:p w:rsidR="00446ADA" w:rsidRDefault="00446ADA">
      <w:pPr>
        <w:jc w:val="both"/>
        <w:rPr>
          <w:rFonts w:ascii="Arial" w:eastAsia="Arial" w:hAnsi="Arial" w:cs="Arial"/>
          <w:sz w:val="28"/>
          <w:szCs w:val="28"/>
        </w:rPr>
      </w:pPr>
    </w:p>
    <w:sectPr w:rsidR="00446ADA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2CBA">
      <w:r>
        <w:separator/>
      </w:r>
    </w:p>
  </w:endnote>
  <w:endnote w:type="continuationSeparator" w:id="0">
    <w:p w:rsidR="00000000" w:rsidRDefault="0062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0921F950-B31B-44BC-9CCA-632982468A3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E44198C-FA1D-48A3-8B88-BCB4C2B8369D}"/>
    <w:embedBold r:id="rId3" w:fontKey="{675F376B-9290-4FFC-AE85-FA289C176C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CEB4E472-011A-428C-AF92-73B7F242A036}"/>
  </w:font>
  <w:font w:name="Georgia">
    <w:panose1 w:val="02040502050405020303"/>
    <w:charset w:val="00"/>
    <w:family w:val="auto"/>
    <w:pitch w:val="default"/>
    <w:embedItalic r:id="rId5" w:fontKey="{097E12D6-4A8F-4DBD-9982-A8CCDEB43A0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ADA" w:rsidRDefault="00622C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46ADA" w:rsidRDefault="00446A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446ADA" w:rsidRDefault="00446A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2CBA">
      <w:r>
        <w:separator/>
      </w:r>
    </w:p>
  </w:footnote>
  <w:footnote w:type="continuationSeparator" w:id="0">
    <w:p w:rsidR="00000000" w:rsidRDefault="00622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ADA" w:rsidRDefault="00622C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43A5D"/>
    <w:multiLevelType w:val="multilevel"/>
    <w:tmpl w:val="79646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DA"/>
    <w:rsid w:val="00446ADA"/>
    <w:rsid w:val="0062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B182A7-8850-4EBD-8553-07BAE399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rn03HbNkOgK3zXPvoRdiBwEDKA==">CgMxLjAyDWguNmpma2R2aHI4anQyDWguNmpma2R2aHI4anQyDWguNmpma2R2aHI4anQ4AHIhMTlvQzlnZUJ6TTFQSEoybk9janFQbnRUNWwtVzAyS0lL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2026-10-17T19:27:00Z</dcterms:created>
  <dcterms:modified xsi:type="dcterms:W3CDTF">2026-10-17T19:27:00Z</dcterms:modified>
</cp:coreProperties>
</file>